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F2E5DF">
      <w:pPr>
        <w:widowControl/>
        <w:jc w:val="center"/>
        <w:rPr>
          <w:rFonts w:ascii="黑体" w:hAnsi="黑体" w:eastAsia="黑体" w:cs="黑体"/>
          <w:color w:val="000000"/>
          <w:kern w:val="0"/>
          <w:sz w:val="36"/>
          <w:szCs w:val="36"/>
          <w:lang w:bidi="ar"/>
        </w:rPr>
      </w:pPr>
      <w:r>
        <w:rPr>
          <w:rFonts w:hint="eastAsia" w:ascii="黑体" w:hAnsi="黑体" w:eastAsia="黑体" w:cs="黑体"/>
          <w:color w:val="000000"/>
          <w:kern w:val="0"/>
          <w:sz w:val="36"/>
          <w:szCs w:val="36"/>
          <w:lang w:val="en-US" w:eastAsia="zh-CN" w:bidi="ar"/>
        </w:rPr>
        <w:t>WS/T XXXX—2024</w:t>
      </w:r>
      <w:r>
        <w:rPr>
          <w:rFonts w:hint="eastAsia" w:ascii="黑体" w:hAnsi="黑体" w:eastAsia="黑体" w:cs="黑体"/>
          <w:color w:val="000000"/>
          <w:kern w:val="0"/>
          <w:sz w:val="36"/>
          <w:szCs w:val="36"/>
          <w:lang w:bidi="ar"/>
        </w:rPr>
        <w:t>《科研实验室生物安全指南》</w:t>
      </w:r>
    </w:p>
    <w:p w14:paraId="181DCEEA">
      <w:pPr>
        <w:widowControl/>
        <w:jc w:val="center"/>
        <w:rPr>
          <w:rFonts w:ascii="黑体" w:hAnsi="黑体" w:eastAsia="黑体" w:cs="黑体"/>
          <w:sz w:val="36"/>
          <w:szCs w:val="36"/>
        </w:rPr>
      </w:pPr>
      <w:r>
        <w:rPr>
          <w:rFonts w:hint="eastAsia" w:ascii="黑体" w:hAnsi="黑体" w:eastAsia="黑体" w:cs="黑体"/>
          <w:sz w:val="36"/>
          <w:szCs w:val="36"/>
        </w:rPr>
        <w:t>编制说明</w:t>
      </w:r>
    </w:p>
    <w:p w14:paraId="7E4BCE19">
      <w:pPr>
        <w:adjustRightInd w:val="0"/>
        <w:snapToGrid w:val="0"/>
        <w:ind w:firstLine="160" w:firstLineChars="50"/>
        <w:jc w:val="center"/>
        <w:rPr>
          <w:rFonts w:ascii="黑体" w:hAnsi="黑体" w:eastAsia="黑体" w:cs="黑体"/>
          <w:bCs/>
          <w:szCs w:val="32"/>
        </w:rPr>
      </w:pPr>
    </w:p>
    <w:p w14:paraId="70AF025D">
      <w:pPr>
        <w:adjustRightInd w:val="0"/>
        <w:snapToGrid w:val="0"/>
        <w:ind w:firstLine="160" w:firstLineChars="50"/>
        <w:jc w:val="center"/>
        <w:rPr>
          <w:rFonts w:ascii="黑体" w:hAnsi="黑体" w:eastAsia="黑体" w:cs="黑体"/>
          <w:bCs/>
          <w:szCs w:val="32"/>
        </w:rPr>
      </w:pPr>
    </w:p>
    <w:p w14:paraId="541B6BC5">
      <w:pPr>
        <w:widowControl/>
        <w:jc w:val="left"/>
        <w:rPr>
          <w:sz w:val="30"/>
          <w:szCs w:val="30"/>
        </w:rPr>
      </w:pPr>
      <w:r>
        <w:rPr>
          <w:rFonts w:ascii="黑体" w:hAnsi="宋体" w:eastAsia="黑体" w:cs="黑体"/>
          <w:b/>
          <w:bCs/>
          <w:color w:val="000000"/>
          <w:kern w:val="0"/>
          <w:sz w:val="30"/>
          <w:szCs w:val="30"/>
          <w:lang w:bidi="ar"/>
        </w:rPr>
        <w:t xml:space="preserve">一、项目基本情况 </w:t>
      </w:r>
    </w:p>
    <w:p w14:paraId="584434A9">
      <w:pPr>
        <w:widowControl/>
        <w:jc w:val="left"/>
        <w:rPr>
          <w:rFonts w:ascii="仿宋" w:hAnsi="仿宋" w:eastAsia="仿宋" w:cs="仿宋"/>
          <w:b/>
          <w:bCs/>
          <w:color w:val="000000"/>
          <w:kern w:val="0"/>
          <w:sz w:val="30"/>
          <w:szCs w:val="30"/>
          <w:lang w:bidi="ar"/>
        </w:rPr>
      </w:pPr>
      <w:r>
        <w:rPr>
          <w:rFonts w:hint="eastAsia" w:ascii="仿宋" w:hAnsi="仿宋" w:eastAsia="仿宋" w:cs="仿宋"/>
          <w:b/>
          <w:bCs/>
          <w:color w:val="000000"/>
          <w:kern w:val="0"/>
          <w:sz w:val="30"/>
          <w:szCs w:val="30"/>
          <w:lang w:bidi="ar"/>
        </w:rPr>
        <w:t>（一）</w:t>
      </w:r>
      <w:r>
        <w:rPr>
          <w:rFonts w:hint="eastAsia" w:ascii="仿宋" w:hAnsi="仿宋" w:eastAsia="仿宋" w:cs="仿宋"/>
          <w:b/>
          <w:bCs/>
          <w:color w:val="000000"/>
          <w:kern w:val="0"/>
          <w:sz w:val="30"/>
          <w:szCs w:val="30"/>
          <w:lang w:val="en-US" w:eastAsia="zh-CN" w:bidi="ar"/>
        </w:rPr>
        <w:t>标准名称、标准编号、任务来源</w:t>
      </w:r>
      <w:r>
        <w:rPr>
          <w:rFonts w:hint="eastAsia" w:ascii="仿宋" w:hAnsi="仿宋" w:eastAsia="仿宋" w:cs="仿宋"/>
          <w:b/>
          <w:bCs/>
          <w:color w:val="000000"/>
          <w:kern w:val="0"/>
          <w:sz w:val="30"/>
          <w:szCs w:val="30"/>
          <w:lang w:bidi="ar"/>
        </w:rPr>
        <w:t xml:space="preserve"> </w:t>
      </w:r>
    </w:p>
    <w:p w14:paraId="4A5028E7">
      <w:pPr>
        <w:widowControl/>
        <w:ind w:firstLine="600" w:firstLineChars="200"/>
        <w:jc w:val="left"/>
        <w:rPr>
          <w:rFonts w:hint="default" w:ascii="仿宋" w:hAnsi="仿宋" w:eastAsia="仿宋" w:cs="仿宋"/>
          <w:b w:val="0"/>
          <w:bCs w:val="0"/>
          <w:color w:val="000000"/>
          <w:kern w:val="0"/>
          <w:sz w:val="30"/>
          <w:szCs w:val="30"/>
          <w:lang w:val="en-US" w:eastAsia="zh-CN" w:bidi="ar"/>
        </w:rPr>
      </w:pPr>
      <w:r>
        <w:rPr>
          <w:rFonts w:hint="eastAsia" w:ascii="仿宋" w:hAnsi="仿宋" w:eastAsia="仿宋" w:cs="仿宋"/>
          <w:b w:val="0"/>
          <w:bCs w:val="0"/>
          <w:color w:val="000000"/>
          <w:kern w:val="0"/>
          <w:sz w:val="30"/>
          <w:szCs w:val="30"/>
          <w:lang w:val="en-US" w:eastAsia="zh-CN" w:bidi="ar"/>
        </w:rPr>
        <w:t>2023年6月7日，国家卫生健康委办公厅公开征集2024年度卫生健康标准立项建议，其中实验室生物安全是重点征集范围之一。2023年7月20日，国家心血管病中心提出关于卫生行业标准《科研实验室生物安全指南》的立项建议。2024年4月8日标准经国家卫生健康委员会批准立项，批准文件为《国家卫生健康委办公厅关于印发2024年度第一批卫生健康标准项目计划的通知》（国卫办法规函【2024】117号），标准项目编号为xx。</w:t>
      </w:r>
    </w:p>
    <w:p w14:paraId="7DA58815">
      <w:pPr>
        <w:widowControl/>
        <w:ind w:firstLine="600" w:firstLineChars="200"/>
        <w:jc w:val="left"/>
        <w:rPr>
          <w:rFonts w:hint="default" w:ascii="仿宋" w:hAnsi="仿宋" w:eastAsia="仿宋" w:cs="仿宋"/>
          <w:b w:val="0"/>
          <w:bCs w:val="0"/>
          <w:color w:val="000000"/>
          <w:kern w:val="0"/>
          <w:sz w:val="30"/>
          <w:szCs w:val="30"/>
          <w:lang w:val="en-US" w:eastAsia="zh-CN" w:bidi="ar"/>
        </w:rPr>
      </w:pPr>
      <w:r>
        <w:rPr>
          <w:rFonts w:hint="default" w:ascii="仿宋" w:hAnsi="仿宋" w:eastAsia="仿宋" w:cs="仿宋"/>
          <w:b w:val="0"/>
          <w:bCs w:val="0"/>
          <w:color w:val="000000"/>
          <w:kern w:val="0"/>
          <w:sz w:val="30"/>
          <w:szCs w:val="30"/>
          <w:lang w:val="en-US" w:eastAsia="zh-CN" w:bidi="ar"/>
        </w:rPr>
        <w:t>实验室生物安全</w:t>
      </w:r>
      <w:r>
        <w:rPr>
          <w:rFonts w:hint="eastAsia" w:ascii="仿宋" w:hAnsi="仿宋" w:eastAsia="仿宋" w:cs="仿宋"/>
          <w:b w:val="0"/>
          <w:bCs w:val="0"/>
          <w:color w:val="000000"/>
          <w:kern w:val="0"/>
          <w:sz w:val="30"/>
          <w:szCs w:val="30"/>
          <w:lang w:val="en-US" w:eastAsia="zh-CN" w:bidi="ar"/>
        </w:rPr>
        <w:t>是</w:t>
      </w:r>
      <w:r>
        <w:rPr>
          <w:rFonts w:hint="default" w:ascii="仿宋" w:hAnsi="仿宋" w:eastAsia="仿宋" w:cs="仿宋"/>
          <w:b w:val="0"/>
          <w:bCs w:val="0"/>
          <w:color w:val="000000"/>
          <w:kern w:val="0"/>
          <w:sz w:val="30"/>
          <w:szCs w:val="30"/>
          <w:lang w:val="en-US" w:eastAsia="zh-CN" w:bidi="ar"/>
        </w:rPr>
        <w:t>国家生物安全至关重要的有机组成部分，长期以来备受各界的高度关注。</w:t>
      </w:r>
      <w:r>
        <w:rPr>
          <w:rFonts w:hint="eastAsia" w:ascii="仿宋" w:hAnsi="仿宋" w:eastAsia="仿宋" w:cs="仿宋"/>
          <w:b w:val="0"/>
          <w:bCs w:val="0"/>
          <w:color w:val="000000"/>
          <w:kern w:val="0"/>
          <w:sz w:val="30"/>
          <w:szCs w:val="30"/>
          <w:lang w:val="en-US" w:eastAsia="zh-CN" w:bidi="ar"/>
        </w:rPr>
        <w:t>科研实验室是</w:t>
      </w:r>
      <w:r>
        <w:rPr>
          <w:rFonts w:hint="default" w:ascii="仿宋" w:hAnsi="仿宋" w:eastAsia="仿宋" w:cs="仿宋"/>
          <w:b w:val="0"/>
          <w:bCs w:val="0"/>
          <w:color w:val="000000"/>
          <w:kern w:val="0"/>
          <w:sz w:val="30"/>
          <w:szCs w:val="30"/>
          <w:lang w:val="en-US" w:eastAsia="zh-CN" w:bidi="ar"/>
        </w:rPr>
        <w:t>以科学技术研究为目的，从事生物因子操作的实验室</w:t>
      </w:r>
      <w:r>
        <w:rPr>
          <w:rFonts w:hint="eastAsia" w:ascii="仿宋" w:hAnsi="仿宋" w:eastAsia="仿宋" w:cs="仿宋"/>
          <w:b w:val="0"/>
          <w:bCs w:val="0"/>
          <w:color w:val="000000"/>
          <w:kern w:val="0"/>
          <w:sz w:val="30"/>
          <w:szCs w:val="30"/>
          <w:lang w:val="en-US" w:eastAsia="zh-CN" w:bidi="ar"/>
        </w:rPr>
        <w:t>，</w:t>
      </w:r>
      <w:r>
        <w:rPr>
          <w:rFonts w:hint="default" w:ascii="仿宋" w:hAnsi="仿宋" w:eastAsia="仿宋" w:cs="仿宋"/>
          <w:b w:val="0"/>
          <w:bCs w:val="0"/>
          <w:color w:val="000000"/>
          <w:kern w:val="0"/>
          <w:sz w:val="30"/>
          <w:szCs w:val="30"/>
          <w:lang w:val="en-US" w:eastAsia="zh-CN" w:bidi="ar"/>
        </w:rPr>
        <w:t>从性质上</w:t>
      </w:r>
      <w:r>
        <w:rPr>
          <w:rFonts w:hint="eastAsia" w:ascii="仿宋" w:hAnsi="仿宋" w:eastAsia="仿宋" w:cs="仿宋"/>
          <w:b w:val="0"/>
          <w:bCs w:val="0"/>
          <w:color w:val="000000"/>
          <w:kern w:val="0"/>
          <w:sz w:val="30"/>
          <w:szCs w:val="30"/>
          <w:lang w:val="en-US" w:eastAsia="zh-CN" w:bidi="ar"/>
        </w:rPr>
        <w:t>来看</w:t>
      </w:r>
      <w:r>
        <w:rPr>
          <w:rFonts w:hint="default" w:ascii="仿宋" w:hAnsi="仿宋" w:eastAsia="仿宋" w:cs="仿宋"/>
          <w:b w:val="0"/>
          <w:bCs w:val="0"/>
          <w:color w:val="000000"/>
          <w:kern w:val="0"/>
          <w:sz w:val="30"/>
          <w:szCs w:val="30"/>
          <w:lang w:val="en-US" w:eastAsia="zh-CN" w:bidi="ar"/>
        </w:rPr>
        <w:t>通常不属于单一结构的实验室，它涵盖了分子生物学、细胞生物学、病原微生物学、动物学、植物学等多个功能区块，涉及样本收集、处理、运输、保存等多个环节，属于综合性实验室。这种综合性使得实验室的生物安全管理难度大大增加，面临的生物危害风险也更高。</w:t>
      </w:r>
      <w:r>
        <w:rPr>
          <w:rFonts w:hint="eastAsia" w:ascii="仿宋" w:hAnsi="仿宋" w:eastAsia="仿宋" w:cs="仿宋"/>
          <w:b w:val="0"/>
          <w:bCs w:val="0"/>
          <w:color w:val="000000"/>
          <w:kern w:val="0"/>
          <w:sz w:val="30"/>
          <w:szCs w:val="30"/>
          <w:lang w:val="en-US" w:eastAsia="zh-CN" w:bidi="ar"/>
        </w:rPr>
        <w:t>科研实验室</w:t>
      </w:r>
      <w:r>
        <w:rPr>
          <w:rFonts w:hint="default" w:ascii="仿宋" w:hAnsi="仿宋" w:eastAsia="仿宋" w:cs="仿宋"/>
          <w:b w:val="0"/>
          <w:bCs w:val="0"/>
          <w:color w:val="000000"/>
          <w:kern w:val="0"/>
          <w:sz w:val="30"/>
          <w:szCs w:val="30"/>
          <w:lang w:val="en-US" w:eastAsia="zh-CN" w:bidi="ar"/>
        </w:rPr>
        <w:t>一旦发生事故，极有可能会导致实验室危险性有害生物向外扩散传播，从而可能对人身安全</w:t>
      </w:r>
      <w:r>
        <w:rPr>
          <w:rFonts w:hint="eastAsia" w:ascii="仿宋" w:hAnsi="仿宋" w:eastAsia="仿宋" w:cs="仿宋"/>
          <w:b w:val="0"/>
          <w:bCs w:val="0"/>
          <w:color w:val="000000"/>
          <w:kern w:val="0"/>
          <w:sz w:val="30"/>
          <w:szCs w:val="30"/>
          <w:lang w:val="en-US" w:eastAsia="zh-CN" w:bidi="ar"/>
        </w:rPr>
        <w:t>和生态环境</w:t>
      </w:r>
      <w:r>
        <w:rPr>
          <w:rFonts w:hint="default" w:ascii="仿宋" w:hAnsi="仿宋" w:eastAsia="仿宋" w:cs="仿宋"/>
          <w:b w:val="0"/>
          <w:bCs w:val="0"/>
          <w:color w:val="000000"/>
          <w:kern w:val="0"/>
          <w:sz w:val="30"/>
          <w:szCs w:val="30"/>
          <w:lang w:val="en-US" w:eastAsia="zh-CN" w:bidi="ar"/>
        </w:rPr>
        <w:t>形成威胁，造成国家重大经济损失、生态环境影响甚至国家公共安全事件。</w:t>
      </w:r>
    </w:p>
    <w:p w14:paraId="004C741E">
      <w:pPr>
        <w:widowControl/>
        <w:ind w:firstLine="600" w:firstLineChars="200"/>
        <w:jc w:val="left"/>
        <w:rPr>
          <w:rFonts w:hint="default" w:ascii="仿宋" w:hAnsi="仿宋" w:eastAsia="仿宋" w:cs="仿宋"/>
          <w:b w:val="0"/>
          <w:bCs w:val="0"/>
          <w:color w:val="000000"/>
          <w:kern w:val="0"/>
          <w:sz w:val="30"/>
          <w:szCs w:val="30"/>
          <w:lang w:val="en-US" w:eastAsia="zh-CN" w:bidi="ar"/>
        </w:rPr>
      </w:pPr>
      <w:r>
        <w:rPr>
          <w:rFonts w:hint="eastAsia" w:ascii="仿宋" w:hAnsi="仿宋" w:eastAsia="仿宋" w:cs="仿宋"/>
          <w:b w:val="0"/>
          <w:bCs w:val="0"/>
          <w:color w:val="000000"/>
          <w:kern w:val="0"/>
          <w:sz w:val="30"/>
          <w:szCs w:val="30"/>
          <w:lang w:val="en-US" w:eastAsia="zh-CN" w:bidi="ar"/>
        </w:rPr>
        <w:t>随着我国</w:t>
      </w:r>
      <w:r>
        <w:rPr>
          <w:rFonts w:hint="default" w:ascii="仿宋" w:hAnsi="仿宋" w:eastAsia="仿宋" w:cs="仿宋"/>
          <w:b w:val="0"/>
          <w:bCs w:val="0"/>
          <w:color w:val="000000"/>
          <w:kern w:val="0"/>
          <w:sz w:val="30"/>
          <w:szCs w:val="30"/>
          <w:lang w:val="en-US" w:eastAsia="zh-CN" w:bidi="ar"/>
        </w:rPr>
        <w:t>科技革命的不断深化、基础研究的组织推进和实验室体系的逐步构建</w:t>
      </w:r>
      <w:r>
        <w:rPr>
          <w:rFonts w:hint="eastAsia" w:ascii="仿宋" w:hAnsi="仿宋" w:eastAsia="仿宋" w:cs="仿宋"/>
          <w:b w:val="0"/>
          <w:bCs w:val="0"/>
          <w:color w:val="000000"/>
          <w:kern w:val="0"/>
          <w:sz w:val="30"/>
          <w:szCs w:val="30"/>
          <w:lang w:val="en-US" w:eastAsia="zh-CN" w:bidi="ar"/>
        </w:rPr>
        <w:t>，科研</w:t>
      </w:r>
      <w:r>
        <w:rPr>
          <w:rFonts w:hint="default" w:ascii="仿宋" w:hAnsi="仿宋" w:eastAsia="仿宋" w:cs="仿宋"/>
          <w:b w:val="0"/>
          <w:bCs w:val="0"/>
          <w:color w:val="000000"/>
          <w:kern w:val="0"/>
          <w:sz w:val="30"/>
          <w:szCs w:val="30"/>
          <w:lang w:val="en-US" w:eastAsia="zh-CN" w:bidi="ar"/>
        </w:rPr>
        <w:t>实验室</w:t>
      </w:r>
      <w:r>
        <w:rPr>
          <w:rFonts w:hint="eastAsia" w:ascii="仿宋" w:hAnsi="仿宋" w:eastAsia="仿宋" w:cs="仿宋"/>
          <w:b w:val="0"/>
          <w:bCs w:val="0"/>
          <w:color w:val="000000"/>
          <w:kern w:val="0"/>
          <w:sz w:val="30"/>
          <w:szCs w:val="30"/>
          <w:lang w:val="en-US" w:eastAsia="zh-CN" w:bidi="ar"/>
        </w:rPr>
        <w:t>作为国家战略科技力量的重要组成部分，从生物安全放开角度来看，其建设、运行和管理没有专门的标准，亟需根据科研实验室特色特点，从生物安全防护水平分级、风险管理、设施设备和安全管理等方面进行规范，提升科研实验室生物安全风险防护水平。</w:t>
      </w:r>
    </w:p>
    <w:p w14:paraId="1EC8B058">
      <w:pPr>
        <w:keepNext w:val="0"/>
        <w:keepLines w:val="0"/>
        <w:widowControl/>
        <w:suppressLineNumbers w:val="0"/>
        <w:jc w:val="left"/>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 xml:space="preserve">（二）各起草单位和起草人承担的工作 </w:t>
      </w:r>
    </w:p>
    <w:tbl>
      <w:tblPr>
        <w:tblStyle w:val="8"/>
        <w:tblpPr w:leftFromText="180" w:rightFromText="180" w:vertAnchor="text" w:horzAnchor="page" w:tblpX="797" w:tblpY="613"/>
        <w:tblOverlap w:val="never"/>
        <w:tblW w:w="10605"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27"/>
        <w:gridCol w:w="973"/>
        <w:gridCol w:w="3373"/>
        <w:gridCol w:w="3492"/>
        <w:gridCol w:w="2140"/>
      </w:tblGrid>
      <w:tr w14:paraId="07EC015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27" w:type="dxa"/>
            <w:vAlign w:val="center"/>
          </w:tcPr>
          <w:p w14:paraId="185995BA">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序号</w:t>
            </w:r>
          </w:p>
        </w:tc>
        <w:tc>
          <w:tcPr>
            <w:tcW w:w="973" w:type="dxa"/>
            <w:vAlign w:val="center"/>
          </w:tcPr>
          <w:p w14:paraId="3A18C6E8">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编制</w:t>
            </w:r>
          </w:p>
          <w:p w14:paraId="38569E47">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人员</w:t>
            </w:r>
          </w:p>
        </w:tc>
        <w:tc>
          <w:tcPr>
            <w:tcW w:w="3373" w:type="dxa"/>
            <w:vAlign w:val="center"/>
          </w:tcPr>
          <w:p w14:paraId="41443C4D">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工作单位</w:t>
            </w:r>
          </w:p>
        </w:tc>
        <w:tc>
          <w:tcPr>
            <w:tcW w:w="3492" w:type="dxa"/>
            <w:vAlign w:val="center"/>
          </w:tcPr>
          <w:p w14:paraId="3CC234FA">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职务/职称</w:t>
            </w:r>
          </w:p>
        </w:tc>
        <w:tc>
          <w:tcPr>
            <w:tcW w:w="2140" w:type="dxa"/>
            <w:vAlign w:val="center"/>
          </w:tcPr>
          <w:p w14:paraId="16B1DEEE">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承担工作</w:t>
            </w:r>
          </w:p>
        </w:tc>
      </w:tr>
      <w:tr w14:paraId="2E54706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27" w:type="dxa"/>
            <w:vAlign w:val="center"/>
          </w:tcPr>
          <w:p w14:paraId="08790E3A">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1</w:t>
            </w:r>
          </w:p>
        </w:tc>
        <w:tc>
          <w:tcPr>
            <w:tcW w:w="973" w:type="dxa"/>
            <w:vAlign w:val="center"/>
          </w:tcPr>
          <w:p w14:paraId="6B659F8E">
            <w:pPr>
              <w:widowControl w:val="0"/>
              <w:adjustRightInd w:val="0"/>
              <w:snapToGrid w:val="0"/>
              <w:spacing w:line="240" w:lineRule="auto"/>
              <w:ind w:left="0" w:leftChars="0" w:firstLine="0" w:firstLineChars="0"/>
              <w:jc w:val="center"/>
              <w:rPr>
                <w:rFonts w:hint="default" w:ascii="仿宋" w:hAnsi="仿宋" w:eastAsia="仿宋" w:cs="仿宋"/>
                <w:bCs/>
                <w:kern w:val="2"/>
                <w:sz w:val="24"/>
                <w:szCs w:val="24"/>
                <w:highlight w:val="none"/>
                <w:lang w:val="en-US" w:eastAsia="zh-CN" w:bidi="ar-SA"/>
              </w:rPr>
            </w:pPr>
            <w:r>
              <w:rPr>
                <w:rFonts w:hint="eastAsia" w:ascii="仿宋" w:hAnsi="仿宋" w:eastAsia="仿宋" w:cs="仿宋"/>
                <w:b w:val="0"/>
                <w:bCs/>
                <w:kern w:val="2"/>
                <w:sz w:val="24"/>
                <w:szCs w:val="24"/>
                <w:highlight w:val="none"/>
                <w:lang w:val="en-US" w:eastAsia="zh-CN" w:bidi="ar-SA"/>
              </w:rPr>
              <w:t>陈敬洲</w:t>
            </w:r>
          </w:p>
        </w:tc>
        <w:tc>
          <w:tcPr>
            <w:tcW w:w="3373" w:type="dxa"/>
            <w:vAlign w:val="center"/>
          </w:tcPr>
          <w:p w14:paraId="4D39D7E7">
            <w:pPr>
              <w:widowControl w:val="0"/>
              <w:adjustRightInd w:val="0"/>
              <w:snapToGrid w:val="0"/>
              <w:spacing w:line="240" w:lineRule="auto"/>
              <w:ind w:left="0" w:leftChars="0" w:firstLine="0" w:firstLineChars="0"/>
              <w:jc w:val="center"/>
              <w:rPr>
                <w:rFonts w:hint="default" w:ascii="仿宋" w:hAnsi="仿宋" w:eastAsia="仿宋" w:cs="仿宋"/>
                <w:b w:val="0"/>
                <w:bCs/>
                <w:color w:val="auto"/>
                <w:kern w:val="2"/>
                <w:sz w:val="24"/>
                <w:szCs w:val="24"/>
                <w:highlight w:val="none"/>
                <w:lang w:val="en-US" w:eastAsia="zh-CN" w:bidi="ar-SA"/>
              </w:rPr>
            </w:pPr>
            <w:r>
              <w:rPr>
                <w:rFonts w:hint="eastAsia" w:ascii="仿宋" w:hAnsi="仿宋" w:eastAsia="仿宋" w:cs="仿宋"/>
                <w:b w:val="0"/>
                <w:bCs/>
                <w:color w:val="auto"/>
                <w:kern w:val="2"/>
                <w:sz w:val="24"/>
                <w:szCs w:val="24"/>
                <w:highlight w:val="none"/>
                <w:lang w:val="en-US" w:eastAsia="zh-CN" w:bidi="ar-SA"/>
              </w:rPr>
              <w:t>国家心血管病中心</w:t>
            </w:r>
          </w:p>
          <w:p w14:paraId="7D20C6BA">
            <w:pPr>
              <w:widowControl w:val="0"/>
              <w:adjustRightInd w:val="0"/>
              <w:snapToGrid w:val="0"/>
              <w:spacing w:line="240" w:lineRule="auto"/>
              <w:ind w:left="0" w:leftChars="0" w:firstLine="0" w:firstLineChars="0"/>
              <w:jc w:val="center"/>
              <w:rPr>
                <w:rFonts w:hint="default" w:ascii="仿宋" w:hAnsi="仿宋" w:eastAsia="仿宋" w:cs="仿宋"/>
                <w:bCs/>
                <w:kern w:val="2"/>
                <w:sz w:val="24"/>
                <w:szCs w:val="24"/>
                <w:highlight w:val="none"/>
                <w:lang w:val="en-US" w:eastAsia="zh-CN" w:bidi="ar-SA"/>
              </w:rPr>
            </w:pPr>
            <w:r>
              <w:rPr>
                <w:rFonts w:hint="eastAsia" w:ascii="仿宋" w:hAnsi="仿宋" w:eastAsia="仿宋" w:cs="仿宋"/>
                <w:b w:val="0"/>
                <w:bCs/>
                <w:color w:val="auto"/>
                <w:kern w:val="2"/>
                <w:sz w:val="24"/>
                <w:szCs w:val="24"/>
                <w:highlight w:val="none"/>
                <w:lang w:val="en-US" w:eastAsia="zh-CN" w:bidi="ar-SA"/>
              </w:rPr>
              <w:t>心血管疾病国家重点实验室</w:t>
            </w:r>
          </w:p>
        </w:tc>
        <w:tc>
          <w:tcPr>
            <w:tcW w:w="3492" w:type="dxa"/>
            <w:vAlign w:val="center"/>
          </w:tcPr>
          <w:p w14:paraId="6E069EA5">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国家心血管病中心科研产业处副处长</w:t>
            </w:r>
          </w:p>
          <w:p w14:paraId="3EE818DE">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心血管疾病国家重点实验室副主任</w:t>
            </w:r>
          </w:p>
        </w:tc>
        <w:tc>
          <w:tcPr>
            <w:tcW w:w="2140" w:type="dxa"/>
            <w:vAlign w:val="center"/>
          </w:tcPr>
          <w:p w14:paraId="7A2A8D87">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第一起草人、标准修订牵头人</w:t>
            </w:r>
          </w:p>
        </w:tc>
      </w:tr>
      <w:tr w14:paraId="18C7F25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27" w:type="dxa"/>
            <w:vAlign w:val="center"/>
          </w:tcPr>
          <w:p w14:paraId="13314159">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2</w:t>
            </w:r>
          </w:p>
        </w:tc>
        <w:tc>
          <w:tcPr>
            <w:tcW w:w="973" w:type="dxa"/>
            <w:vAlign w:val="center"/>
          </w:tcPr>
          <w:p w14:paraId="1A8AEBAB">
            <w:pPr>
              <w:widowControl w:val="0"/>
              <w:adjustRightInd w:val="0"/>
              <w:snapToGrid w:val="0"/>
              <w:spacing w:line="240" w:lineRule="auto"/>
              <w:ind w:left="0" w:leftChars="0" w:firstLine="0" w:firstLineChars="0"/>
              <w:jc w:val="center"/>
              <w:rPr>
                <w:rFonts w:hint="default" w:ascii="仿宋" w:hAnsi="仿宋" w:eastAsia="仿宋" w:cs="仿宋"/>
                <w:b w:val="0"/>
                <w:bCs/>
                <w:kern w:val="2"/>
                <w:sz w:val="24"/>
                <w:szCs w:val="24"/>
                <w:highlight w:val="none"/>
                <w:lang w:val="en-US" w:eastAsia="zh-CN" w:bidi="ar-SA"/>
              </w:rPr>
            </w:pPr>
            <w:r>
              <w:rPr>
                <w:rFonts w:hint="eastAsia" w:ascii="仿宋" w:hAnsi="仿宋" w:eastAsia="仿宋" w:cs="仿宋"/>
                <w:b w:val="0"/>
                <w:bCs/>
                <w:kern w:val="2"/>
                <w:sz w:val="24"/>
                <w:szCs w:val="24"/>
                <w:highlight w:val="none"/>
                <w:lang w:val="en-US" w:eastAsia="zh-CN" w:bidi="ar-SA"/>
              </w:rPr>
              <w:t>刘波波</w:t>
            </w:r>
          </w:p>
        </w:tc>
        <w:tc>
          <w:tcPr>
            <w:tcW w:w="3373" w:type="dxa"/>
            <w:vAlign w:val="center"/>
          </w:tcPr>
          <w:p w14:paraId="78280761">
            <w:pPr>
              <w:widowControl w:val="0"/>
              <w:adjustRightInd w:val="0"/>
              <w:snapToGrid w:val="0"/>
              <w:spacing w:line="240" w:lineRule="auto"/>
              <w:ind w:left="0" w:leftChars="0" w:firstLine="0" w:firstLineChars="0"/>
              <w:jc w:val="center"/>
              <w:rPr>
                <w:rFonts w:hint="eastAsia" w:ascii="仿宋" w:hAnsi="仿宋" w:eastAsia="仿宋" w:cs="仿宋"/>
                <w:b w:val="0"/>
                <w:bCs/>
                <w:kern w:val="2"/>
                <w:sz w:val="24"/>
                <w:szCs w:val="24"/>
                <w:highlight w:val="none"/>
                <w:lang w:val="en-US" w:eastAsia="zh-CN" w:bidi="ar-SA"/>
              </w:rPr>
            </w:pPr>
            <w:r>
              <w:rPr>
                <w:rFonts w:hint="eastAsia" w:ascii="仿宋" w:hAnsi="仿宋" w:eastAsia="仿宋" w:cs="仿宋"/>
                <w:b w:val="0"/>
                <w:bCs/>
                <w:kern w:val="2"/>
                <w:sz w:val="24"/>
                <w:szCs w:val="24"/>
                <w:highlight w:val="none"/>
                <w:lang w:val="en-US" w:eastAsia="zh-CN" w:bidi="ar-SA"/>
              </w:rPr>
              <w:t>中国科学院武汉国家生物安全实验室</w:t>
            </w:r>
          </w:p>
        </w:tc>
        <w:tc>
          <w:tcPr>
            <w:tcW w:w="3492" w:type="dxa"/>
            <w:vAlign w:val="center"/>
          </w:tcPr>
          <w:p w14:paraId="0780486B">
            <w:pPr>
              <w:widowControl w:val="0"/>
              <w:adjustRightInd w:val="0"/>
              <w:snapToGrid w:val="0"/>
              <w:spacing w:line="240" w:lineRule="auto"/>
              <w:ind w:left="0" w:leftChars="0" w:firstLine="0" w:firstLineChars="0"/>
              <w:jc w:val="center"/>
              <w:rPr>
                <w:rFonts w:hint="eastAsia" w:ascii="仿宋" w:hAnsi="仿宋" w:eastAsia="仿宋" w:cs="仿宋"/>
                <w:b w:val="0"/>
                <w:bCs/>
                <w:kern w:val="2"/>
                <w:sz w:val="24"/>
                <w:szCs w:val="24"/>
                <w:highlight w:val="none"/>
                <w:lang w:val="en-US" w:eastAsia="zh-CN" w:bidi="ar-SA"/>
              </w:rPr>
            </w:pPr>
            <w:r>
              <w:rPr>
                <w:rFonts w:hint="eastAsia" w:ascii="仿宋" w:hAnsi="仿宋" w:eastAsia="仿宋" w:cs="仿宋"/>
                <w:b w:val="0"/>
                <w:bCs/>
                <w:kern w:val="2"/>
                <w:sz w:val="24"/>
                <w:szCs w:val="24"/>
                <w:highlight w:val="none"/>
                <w:lang w:val="en-US" w:eastAsia="zh-CN" w:bidi="ar-SA"/>
              </w:rPr>
              <w:t>中国科学院武汉国家生物安全（四级）实验室生物安全负责人</w:t>
            </w:r>
          </w:p>
        </w:tc>
        <w:tc>
          <w:tcPr>
            <w:tcW w:w="2140" w:type="dxa"/>
            <w:vAlign w:val="center"/>
          </w:tcPr>
          <w:p w14:paraId="57500AA2">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标准编制说明和标准解读撰写</w:t>
            </w:r>
          </w:p>
        </w:tc>
      </w:tr>
      <w:tr w14:paraId="51C3418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27" w:type="dxa"/>
            <w:vAlign w:val="center"/>
          </w:tcPr>
          <w:p w14:paraId="77E91BBE">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3</w:t>
            </w:r>
          </w:p>
        </w:tc>
        <w:tc>
          <w:tcPr>
            <w:tcW w:w="973" w:type="dxa"/>
            <w:vAlign w:val="center"/>
          </w:tcPr>
          <w:p w14:paraId="3ACCA5F3">
            <w:pPr>
              <w:widowControl w:val="0"/>
              <w:adjustRightInd w:val="0"/>
              <w:snapToGrid w:val="0"/>
              <w:spacing w:line="240" w:lineRule="auto"/>
              <w:ind w:left="0" w:leftChars="0" w:firstLine="0" w:firstLineChars="0"/>
              <w:jc w:val="center"/>
              <w:rPr>
                <w:rFonts w:hint="default" w:ascii="仿宋" w:hAnsi="仿宋" w:eastAsia="仿宋" w:cs="仿宋"/>
                <w:b w:val="0"/>
                <w:bCs/>
                <w:kern w:val="2"/>
                <w:sz w:val="24"/>
                <w:szCs w:val="24"/>
                <w:highlight w:val="none"/>
                <w:lang w:val="en-US" w:eastAsia="zh-CN" w:bidi="ar-SA"/>
              </w:rPr>
            </w:pPr>
            <w:r>
              <w:rPr>
                <w:rFonts w:hint="eastAsia" w:ascii="仿宋" w:hAnsi="仿宋" w:eastAsia="仿宋" w:cs="仿宋"/>
                <w:b w:val="0"/>
                <w:bCs/>
                <w:kern w:val="2"/>
                <w:sz w:val="24"/>
                <w:szCs w:val="24"/>
                <w:highlight w:val="none"/>
                <w:lang w:val="en-US" w:eastAsia="zh-CN" w:bidi="ar-SA"/>
              </w:rPr>
              <w:t>关云涛</w:t>
            </w:r>
          </w:p>
        </w:tc>
        <w:tc>
          <w:tcPr>
            <w:tcW w:w="3373" w:type="dxa"/>
            <w:vAlign w:val="center"/>
          </w:tcPr>
          <w:p w14:paraId="47B4EDB8">
            <w:pPr>
              <w:widowControl w:val="0"/>
              <w:adjustRightInd w:val="0"/>
              <w:snapToGrid w:val="0"/>
              <w:spacing w:line="240" w:lineRule="auto"/>
              <w:ind w:left="0" w:leftChars="0" w:firstLine="0" w:firstLineChars="0"/>
              <w:jc w:val="center"/>
              <w:rPr>
                <w:rFonts w:hint="eastAsia" w:ascii="仿宋" w:hAnsi="仿宋" w:eastAsia="仿宋" w:cs="仿宋"/>
                <w:b w:val="0"/>
                <w:bCs/>
                <w:kern w:val="2"/>
                <w:sz w:val="24"/>
                <w:szCs w:val="24"/>
                <w:highlight w:val="none"/>
                <w:lang w:val="en-US" w:eastAsia="zh-CN" w:bidi="ar-SA"/>
              </w:rPr>
            </w:pPr>
            <w:r>
              <w:rPr>
                <w:rFonts w:hint="eastAsia" w:ascii="仿宋" w:hAnsi="仿宋" w:eastAsia="仿宋" w:cs="仿宋"/>
                <w:b w:val="0"/>
                <w:bCs/>
                <w:kern w:val="2"/>
                <w:sz w:val="24"/>
                <w:szCs w:val="24"/>
                <w:highlight w:val="none"/>
                <w:lang w:val="en-US" w:eastAsia="zh-CN" w:bidi="ar-SA"/>
              </w:rPr>
              <w:t>国家动物疫病防控高级别生物安全实验室</w:t>
            </w:r>
          </w:p>
        </w:tc>
        <w:tc>
          <w:tcPr>
            <w:tcW w:w="3492" w:type="dxa"/>
            <w:vAlign w:val="center"/>
          </w:tcPr>
          <w:p w14:paraId="20C5C663">
            <w:pPr>
              <w:widowControl w:val="0"/>
              <w:adjustRightInd w:val="0"/>
              <w:snapToGrid w:val="0"/>
              <w:spacing w:line="240" w:lineRule="auto"/>
              <w:ind w:left="0" w:leftChars="0" w:firstLine="0" w:firstLineChars="0"/>
              <w:jc w:val="center"/>
              <w:rPr>
                <w:rFonts w:hint="eastAsia" w:ascii="仿宋" w:hAnsi="仿宋" w:eastAsia="仿宋" w:cs="仿宋"/>
                <w:b w:val="0"/>
                <w:bCs/>
                <w:kern w:val="2"/>
                <w:sz w:val="24"/>
                <w:szCs w:val="24"/>
                <w:highlight w:val="none"/>
                <w:lang w:val="en-US" w:eastAsia="zh-CN" w:bidi="ar-SA"/>
              </w:rPr>
            </w:pPr>
            <w:r>
              <w:rPr>
                <w:rFonts w:hint="eastAsia" w:ascii="仿宋" w:hAnsi="仿宋" w:eastAsia="仿宋" w:cs="仿宋"/>
                <w:b w:val="0"/>
                <w:bCs/>
                <w:kern w:val="2"/>
                <w:sz w:val="24"/>
                <w:szCs w:val="24"/>
                <w:highlight w:val="none"/>
                <w:lang w:val="en-US" w:eastAsia="zh-CN" w:bidi="ar-SA"/>
              </w:rPr>
              <w:t>国家动物疫病防控高级别生物安全（四级）实验室副主任</w:t>
            </w:r>
          </w:p>
        </w:tc>
        <w:tc>
          <w:tcPr>
            <w:tcW w:w="2140" w:type="dxa"/>
            <w:vAlign w:val="center"/>
          </w:tcPr>
          <w:p w14:paraId="59A79968">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标准编制说明和标准解读材料的撰写</w:t>
            </w:r>
          </w:p>
        </w:tc>
      </w:tr>
      <w:tr w14:paraId="6B1584B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27" w:type="dxa"/>
            <w:vAlign w:val="center"/>
          </w:tcPr>
          <w:p w14:paraId="5B40F1E9">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4</w:t>
            </w:r>
          </w:p>
        </w:tc>
        <w:tc>
          <w:tcPr>
            <w:tcW w:w="973" w:type="dxa"/>
            <w:vAlign w:val="center"/>
          </w:tcPr>
          <w:p w14:paraId="25906BF5">
            <w:pPr>
              <w:widowControl w:val="0"/>
              <w:adjustRightInd w:val="0"/>
              <w:snapToGrid w:val="0"/>
              <w:spacing w:line="240" w:lineRule="auto"/>
              <w:ind w:left="0" w:leftChars="0" w:firstLine="0" w:firstLineChars="0"/>
              <w:jc w:val="center"/>
              <w:rPr>
                <w:rFonts w:hint="default" w:ascii="仿宋" w:hAnsi="仿宋" w:eastAsia="仿宋" w:cs="仿宋"/>
                <w:bCs/>
                <w:kern w:val="2"/>
                <w:sz w:val="24"/>
                <w:szCs w:val="24"/>
                <w:highlight w:val="none"/>
                <w:lang w:val="en-US" w:eastAsia="zh-CN" w:bidi="ar-SA"/>
              </w:rPr>
            </w:pPr>
            <w:r>
              <w:rPr>
                <w:rFonts w:hint="eastAsia" w:ascii="仿宋" w:hAnsi="仿宋" w:eastAsia="仿宋" w:cs="仿宋"/>
                <w:b w:val="0"/>
                <w:bCs/>
                <w:i w:val="0"/>
                <w:iCs w:val="0"/>
                <w:color w:val="auto"/>
                <w:kern w:val="2"/>
                <w:sz w:val="24"/>
                <w:szCs w:val="24"/>
                <w:highlight w:val="none"/>
                <w:lang w:val="en-US" w:eastAsia="zh-CN" w:bidi="ar-SA"/>
              </w:rPr>
              <w:t>潘湘斌</w:t>
            </w:r>
          </w:p>
        </w:tc>
        <w:tc>
          <w:tcPr>
            <w:tcW w:w="3373" w:type="dxa"/>
            <w:vAlign w:val="center"/>
          </w:tcPr>
          <w:p w14:paraId="4581A9BA">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 w:val="0"/>
                <w:bCs/>
                <w:i w:val="0"/>
                <w:iCs w:val="0"/>
                <w:color w:val="auto"/>
                <w:kern w:val="2"/>
                <w:sz w:val="24"/>
                <w:szCs w:val="24"/>
                <w:highlight w:val="none"/>
                <w:lang w:val="en-US" w:eastAsia="zh-CN" w:bidi="ar-SA"/>
              </w:rPr>
              <w:t>中国医学科学院阜外医院深圳医院</w:t>
            </w:r>
          </w:p>
        </w:tc>
        <w:tc>
          <w:tcPr>
            <w:tcW w:w="3492" w:type="dxa"/>
            <w:vAlign w:val="center"/>
          </w:tcPr>
          <w:p w14:paraId="1BFC8BD9">
            <w:pPr>
              <w:widowControl w:val="0"/>
              <w:adjustRightInd w:val="0"/>
              <w:snapToGrid w:val="0"/>
              <w:spacing w:line="240" w:lineRule="auto"/>
              <w:ind w:left="0" w:leftChars="0" w:firstLine="0" w:firstLineChars="0"/>
              <w:jc w:val="center"/>
              <w:rPr>
                <w:rFonts w:hint="default" w:ascii="仿宋" w:hAnsi="仿宋" w:eastAsia="仿宋" w:cs="仿宋"/>
                <w:bCs/>
                <w:kern w:val="2"/>
                <w:sz w:val="24"/>
                <w:szCs w:val="24"/>
                <w:highlight w:val="none"/>
                <w:lang w:val="en-US" w:eastAsia="zh-CN" w:bidi="ar-SA"/>
              </w:rPr>
            </w:pPr>
            <w:r>
              <w:rPr>
                <w:rFonts w:hint="eastAsia" w:ascii="仿宋" w:hAnsi="仿宋" w:eastAsia="仿宋" w:cs="仿宋"/>
                <w:b w:val="0"/>
                <w:bCs/>
                <w:i w:val="0"/>
                <w:iCs w:val="0"/>
                <w:color w:val="auto"/>
                <w:kern w:val="2"/>
                <w:sz w:val="24"/>
                <w:szCs w:val="24"/>
                <w:highlight w:val="none"/>
                <w:lang w:val="en-US" w:eastAsia="zh-CN" w:bidi="ar-SA"/>
              </w:rPr>
              <w:t>中国医学科学院阜外医院深圳医院执行院长</w:t>
            </w:r>
          </w:p>
        </w:tc>
        <w:tc>
          <w:tcPr>
            <w:tcW w:w="2140" w:type="dxa"/>
            <w:vAlign w:val="center"/>
          </w:tcPr>
          <w:p w14:paraId="2E47BE13">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标准内容修改和审核</w:t>
            </w:r>
          </w:p>
        </w:tc>
      </w:tr>
      <w:tr w14:paraId="001EAB9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27" w:type="dxa"/>
            <w:vAlign w:val="center"/>
          </w:tcPr>
          <w:p w14:paraId="23615CE9">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5</w:t>
            </w:r>
          </w:p>
        </w:tc>
        <w:tc>
          <w:tcPr>
            <w:tcW w:w="973" w:type="dxa"/>
            <w:vAlign w:val="center"/>
          </w:tcPr>
          <w:p w14:paraId="1B61A50C">
            <w:pPr>
              <w:widowControl w:val="0"/>
              <w:adjustRightInd w:val="0"/>
              <w:snapToGrid w:val="0"/>
              <w:spacing w:line="240" w:lineRule="auto"/>
              <w:ind w:left="0" w:leftChars="0" w:firstLine="0" w:firstLineChars="0"/>
              <w:jc w:val="center"/>
              <w:rPr>
                <w:rFonts w:hint="default" w:ascii="仿宋" w:hAnsi="仿宋" w:eastAsia="仿宋" w:cs="仿宋"/>
                <w:bCs/>
                <w:kern w:val="2"/>
                <w:sz w:val="24"/>
                <w:szCs w:val="24"/>
                <w:highlight w:val="none"/>
                <w:lang w:val="en-US" w:eastAsia="zh-CN" w:bidi="ar-SA"/>
              </w:rPr>
            </w:pPr>
            <w:r>
              <w:rPr>
                <w:rFonts w:hint="eastAsia" w:ascii="仿宋" w:hAnsi="仿宋" w:eastAsia="仿宋" w:cs="仿宋"/>
                <w:b w:val="0"/>
                <w:bCs/>
                <w:i w:val="0"/>
                <w:iCs w:val="0"/>
                <w:color w:val="auto"/>
                <w:kern w:val="2"/>
                <w:sz w:val="24"/>
                <w:szCs w:val="24"/>
                <w:highlight w:val="none"/>
                <w:lang w:val="en-US" w:eastAsia="zh-CN" w:bidi="ar-SA"/>
              </w:rPr>
              <w:t>李丹</w:t>
            </w:r>
          </w:p>
        </w:tc>
        <w:tc>
          <w:tcPr>
            <w:tcW w:w="3373" w:type="dxa"/>
            <w:vAlign w:val="center"/>
          </w:tcPr>
          <w:p w14:paraId="36F9DF57">
            <w:pPr>
              <w:widowControl w:val="0"/>
              <w:adjustRightInd w:val="0"/>
              <w:snapToGrid w:val="0"/>
              <w:spacing w:line="240" w:lineRule="auto"/>
              <w:ind w:left="0" w:leftChars="0" w:firstLine="0" w:firstLineChars="0"/>
              <w:jc w:val="center"/>
              <w:rPr>
                <w:rFonts w:hint="default" w:ascii="仿宋" w:hAnsi="仿宋" w:eastAsia="仿宋" w:cs="仿宋"/>
                <w:b w:val="0"/>
                <w:bCs/>
                <w:i w:val="0"/>
                <w:iCs w:val="0"/>
                <w:color w:val="auto"/>
                <w:kern w:val="2"/>
                <w:sz w:val="24"/>
                <w:szCs w:val="24"/>
                <w:highlight w:val="none"/>
                <w:lang w:val="en-US" w:eastAsia="zh-CN" w:bidi="ar-SA"/>
              </w:rPr>
            </w:pPr>
            <w:r>
              <w:rPr>
                <w:rFonts w:hint="default" w:ascii="仿宋" w:hAnsi="仿宋" w:eastAsia="仿宋" w:cs="仿宋"/>
                <w:b w:val="0"/>
                <w:bCs/>
                <w:i w:val="0"/>
                <w:iCs w:val="0"/>
                <w:color w:val="auto"/>
                <w:kern w:val="2"/>
                <w:sz w:val="24"/>
                <w:szCs w:val="24"/>
                <w:highlight w:val="none"/>
                <w:lang w:val="en-US" w:eastAsia="zh-CN" w:bidi="ar-SA"/>
              </w:rPr>
              <w:t>中国医学科学院阜外医院深圳医院</w:t>
            </w:r>
          </w:p>
          <w:p w14:paraId="4918CB53">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 w:val="0"/>
                <w:bCs/>
                <w:i w:val="0"/>
                <w:iCs w:val="0"/>
                <w:color w:val="auto"/>
                <w:kern w:val="2"/>
                <w:sz w:val="24"/>
                <w:szCs w:val="24"/>
                <w:highlight w:val="none"/>
                <w:lang w:val="en-US" w:eastAsia="zh-CN" w:bidi="ar-SA"/>
              </w:rPr>
              <w:t>心血管疾病国家重点实验室</w:t>
            </w:r>
          </w:p>
        </w:tc>
        <w:tc>
          <w:tcPr>
            <w:tcW w:w="3492" w:type="dxa"/>
            <w:vAlign w:val="center"/>
          </w:tcPr>
          <w:p w14:paraId="0AFE610C">
            <w:pPr>
              <w:widowControl w:val="0"/>
              <w:adjustRightInd w:val="0"/>
              <w:snapToGrid w:val="0"/>
              <w:spacing w:line="240" w:lineRule="auto"/>
              <w:ind w:left="0" w:leftChars="0" w:firstLine="0" w:firstLineChars="0"/>
              <w:jc w:val="center"/>
              <w:rPr>
                <w:rFonts w:hint="eastAsia" w:ascii="仿宋" w:hAnsi="仿宋" w:eastAsia="仿宋" w:cs="仿宋"/>
                <w:b w:val="0"/>
                <w:bCs/>
                <w:i w:val="0"/>
                <w:iCs w:val="0"/>
                <w:color w:val="auto"/>
                <w:kern w:val="2"/>
                <w:sz w:val="24"/>
                <w:szCs w:val="24"/>
                <w:highlight w:val="none"/>
                <w:lang w:val="en-US" w:eastAsia="zh-CN" w:bidi="ar-SA"/>
              </w:rPr>
            </w:pPr>
            <w:r>
              <w:rPr>
                <w:rFonts w:hint="default" w:ascii="仿宋" w:hAnsi="仿宋" w:eastAsia="仿宋" w:cs="仿宋"/>
                <w:b w:val="0"/>
                <w:bCs/>
                <w:i w:val="0"/>
                <w:iCs w:val="0"/>
                <w:color w:val="auto"/>
                <w:kern w:val="2"/>
                <w:sz w:val="24"/>
                <w:szCs w:val="24"/>
                <w:highlight w:val="none"/>
                <w:lang w:val="en-US" w:eastAsia="zh-CN" w:bidi="ar-SA"/>
              </w:rPr>
              <w:t>中国医学科学院阜外医院深圳医院</w:t>
            </w:r>
            <w:r>
              <w:rPr>
                <w:rFonts w:hint="eastAsia" w:ascii="仿宋" w:hAnsi="仿宋" w:eastAsia="仿宋" w:cs="仿宋"/>
                <w:b w:val="0"/>
                <w:bCs/>
                <w:i w:val="0"/>
                <w:iCs w:val="0"/>
                <w:color w:val="auto"/>
                <w:kern w:val="2"/>
                <w:sz w:val="24"/>
                <w:szCs w:val="24"/>
                <w:highlight w:val="none"/>
                <w:lang w:val="en-US" w:eastAsia="zh-CN" w:bidi="ar-SA"/>
              </w:rPr>
              <w:t>科研处处长</w:t>
            </w:r>
          </w:p>
          <w:p w14:paraId="0898EFCE">
            <w:pPr>
              <w:widowControl w:val="0"/>
              <w:adjustRightInd w:val="0"/>
              <w:snapToGrid w:val="0"/>
              <w:spacing w:line="240" w:lineRule="auto"/>
              <w:ind w:left="0" w:leftChars="0" w:firstLine="0" w:firstLineChars="0"/>
              <w:jc w:val="center"/>
              <w:rPr>
                <w:rFonts w:hint="default" w:ascii="仿宋" w:hAnsi="仿宋" w:eastAsia="仿宋" w:cs="仿宋"/>
                <w:bCs/>
                <w:kern w:val="2"/>
                <w:sz w:val="24"/>
                <w:szCs w:val="24"/>
                <w:highlight w:val="none"/>
                <w:lang w:val="en-US" w:eastAsia="zh-CN" w:bidi="ar-SA"/>
              </w:rPr>
            </w:pPr>
            <w:r>
              <w:rPr>
                <w:rFonts w:hint="default" w:ascii="仿宋" w:hAnsi="仿宋" w:eastAsia="仿宋" w:cs="仿宋"/>
                <w:b w:val="0"/>
                <w:bCs/>
                <w:i w:val="0"/>
                <w:iCs w:val="0"/>
                <w:color w:val="auto"/>
                <w:kern w:val="2"/>
                <w:sz w:val="24"/>
                <w:szCs w:val="24"/>
                <w:highlight w:val="none"/>
                <w:lang w:val="en-US" w:eastAsia="zh-CN" w:bidi="ar-SA"/>
              </w:rPr>
              <w:t>心血管疾病国家重点实验室</w:t>
            </w:r>
            <w:r>
              <w:rPr>
                <w:rFonts w:hint="eastAsia" w:ascii="仿宋" w:hAnsi="仿宋" w:eastAsia="仿宋" w:cs="仿宋"/>
                <w:b w:val="0"/>
                <w:bCs/>
                <w:i w:val="0"/>
                <w:iCs w:val="0"/>
                <w:color w:val="auto"/>
                <w:kern w:val="2"/>
                <w:sz w:val="24"/>
                <w:szCs w:val="24"/>
                <w:highlight w:val="none"/>
                <w:lang w:val="en-US" w:eastAsia="zh-CN" w:bidi="ar-SA"/>
              </w:rPr>
              <w:t>办公室主任</w:t>
            </w:r>
          </w:p>
        </w:tc>
        <w:tc>
          <w:tcPr>
            <w:tcW w:w="2140" w:type="dxa"/>
            <w:vAlign w:val="center"/>
          </w:tcPr>
          <w:p w14:paraId="1EF2DE6D">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标准内容修改和审核</w:t>
            </w:r>
          </w:p>
        </w:tc>
      </w:tr>
      <w:tr w14:paraId="58853ED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627" w:type="dxa"/>
            <w:vAlign w:val="center"/>
          </w:tcPr>
          <w:p w14:paraId="740AB3EE">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6</w:t>
            </w:r>
          </w:p>
        </w:tc>
        <w:tc>
          <w:tcPr>
            <w:tcW w:w="973" w:type="dxa"/>
            <w:vAlign w:val="center"/>
          </w:tcPr>
          <w:p w14:paraId="1D92746F">
            <w:pPr>
              <w:widowControl w:val="0"/>
              <w:adjustRightInd w:val="0"/>
              <w:snapToGrid w:val="0"/>
              <w:spacing w:line="240" w:lineRule="auto"/>
              <w:ind w:left="0" w:leftChars="0" w:firstLine="0" w:firstLineChars="0"/>
              <w:jc w:val="center"/>
              <w:rPr>
                <w:rFonts w:hint="default" w:ascii="仿宋" w:hAnsi="仿宋" w:eastAsia="仿宋" w:cs="仿宋"/>
                <w:b w:val="0"/>
                <w:bCs/>
                <w:kern w:val="2"/>
                <w:sz w:val="24"/>
                <w:szCs w:val="24"/>
                <w:highlight w:val="none"/>
                <w:lang w:val="en-US" w:eastAsia="zh-CN" w:bidi="ar-SA"/>
              </w:rPr>
            </w:pPr>
            <w:r>
              <w:rPr>
                <w:rFonts w:hint="eastAsia" w:ascii="仿宋" w:hAnsi="仿宋" w:eastAsia="仿宋" w:cs="仿宋"/>
                <w:b w:val="0"/>
                <w:bCs/>
                <w:kern w:val="2"/>
                <w:sz w:val="24"/>
                <w:szCs w:val="24"/>
                <w:highlight w:val="none"/>
                <w:lang w:val="en-US" w:eastAsia="zh-CN" w:bidi="ar-SA"/>
              </w:rPr>
              <w:t>翟俊峰</w:t>
            </w:r>
          </w:p>
        </w:tc>
        <w:tc>
          <w:tcPr>
            <w:tcW w:w="3373" w:type="dxa"/>
            <w:vAlign w:val="center"/>
          </w:tcPr>
          <w:p w14:paraId="7864B4FF">
            <w:pPr>
              <w:widowControl w:val="0"/>
              <w:adjustRightInd w:val="0"/>
              <w:snapToGrid w:val="0"/>
              <w:spacing w:line="240" w:lineRule="auto"/>
              <w:ind w:left="0" w:leftChars="0" w:firstLine="0" w:firstLineChars="0"/>
              <w:jc w:val="center"/>
              <w:rPr>
                <w:rFonts w:hint="default" w:ascii="仿宋" w:hAnsi="仿宋" w:eastAsia="仿宋" w:cs="仿宋"/>
                <w:b w:val="0"/>
                <w:bCs/>
                <w:kern w:val="2"/>
                <w:sz w:val="24"/>
                <w:szCs w:val="24"/>
                <w:highlight w:val="none"/>
                <w:lang w:val="en-US" w:eastAsia="zh-CN" w:bidi="ar-SA"/>
              </w:rPr>
            </w:pPr>
            <w:r>
              <w:rPr>
                <w:rFonts w:hint="eastAsia" w:ascii="仿宋" w:hAnsi="仿宋" w:eastAsia="仿宋" w:cs="仿宋"/>
                <w:b w:val="0"/>
                <w:bCs/>
                <w:kern w:val="2"/>
                <w:sz w:val="24"/>
                <w:szCs w:val="24"/>
                <w:highlight w:val="none"/>
                <w:lang w:val="en-US" w:eastAsia="zh-CN" w:bidi="ar-SA"/>
              </w:rPr>
              <w:t>中国检验检疫科学研究院</w:t>
            </w:r>
          </w:p>
        </w:tc>
        <w:tc>
          <w:tcPr>
            <w:tcW w:w="3492" w:type="dxa"/>
            <w:vAlign w:val="center"/>
          </w:tcPr>
          <w:p w14:paraId="4FC5C4B5">
            <w:pPr>
              <w:widowControl w:val="0"/>
              <w:adjustRightInd w:val="0"/>
              <w:snapToGrid w:val="0"/>
              <w:spacing w:line="240" w:lineRule="auto"/>
              <w:ind w:left="0" w:leftChars="0" w:firstLine="0" w:firstLineChars="0"/>
              <w:jc w:val="center"/>
              <w:rPr>
                <w:rFonts w:hint="default" w:ascii="仿宋" w:hAnsi="仿宋" w:eastAsia="仿宋" w:cs="仿宋"/>
                <w:b w:val="0"/>
                <w:bCs/>
                <w:kern w:val="2"/>
                <w:sz w:val="24"/>
                <w:szCs w:val="24"/>
                <w:highlight w:val="none"/>
                <w:lang w:val="en-US" w:eastAsia="zh-CN" w:bidi="ar-SA"/>
              </w:rPr>
            </w:pPr>
            <w:r>
              <w:rPr>
                <w:rFonts w:hint="eastAsia" w:ascii="仿宋" w:hAnsi="仿宋" w:eastAsia="仿宋" w:cs="仿宋"/>
                <w:b w:val="0"/>
                <w:bCs/>
                <w:kern w:val="2"/>
                <w:sz w:val="24"/>
                <w:szCs w:val="24"/>
                <w:highlight w:val="none"/>
                <w:lang w:val="en-US" w:eastAsia="zh-CN" w:bidi="ar-SA"/>
              </w:rPr>
              <w:t>中国检验检疫科学研究院植物检验与检疫研究所所长</w:t>
            </w:r>
          </w:p>
        </w:tc>
        <w:tc>
          <w:tcPr>
            <w:tcW w:w="2140" w:type="dxa"/>
            <w:vAlign w:val="center"/>
          </w:tcPr>
          <w:p w14:paraId="723F84FE">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标准适用性验证</w:t>
            </w:r>
          </w:p>
        </w:tc>
      </w:tr>
      <w:tr w14:paraId="547F6E3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627" w:type="dxa"/>
            <w:vAlign w:val="center"/>
          </w:tcPr>
          <w:p w14:paraId="596EEB5D">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7</w:t>
            </w:r>
          </w:p>
        </w:tc>
        <w:tc>
          <w:tcPr>
            <w:tcW w:w="973" w:type="dxa"/>
            <w:vAlign w:val="center"/>
          </w:tcPr>
          <w:p w14:paraId="3B56F9AF">
            <w:pPr>
              <w:widowControl w:val="0"/>
              <w:adjustRightInd w:val="0"/>
              <w:snapToGrid w:val="0"/>
              <w:spacing w:line="240" w:lineRule="auto"/>
              <w:ind w:left="0" w:leftChars="0" w:firstLine="0" w:firstLineChars="0"/>
              <w:jc w:val="center"/>
              <w:rPr>
                <w:rFonts w:hint="default" w:ascii="仿宋" w:hAnsi="仿宋" w:eastAsia="仿宋" w:cs="仿宋"/>
                <w:b w:val="0"/>
                <w:bCs/>
                <w:kern w:val="2"/>
                <w:sz w:val="24"/>
                <w:szCs w:val="24"/>
                <w:highlight w:val="none"/>
                <w:lang w:val="en-US" w:eastAsia="zh-CN" w:bidi="ar-SA"/>
              </w:rPr>
            </w:pPr>
            <w:r>
              <w:rPr>
                <w:rFonts w:hint="eastAsia" w:ascii="仿宋" w:hAnsi="仿宋" w:eastAsia="仿宋" w:cs="仿宋"/>
                <w:b w:val="0"/>
                <w:bCs/>
                <w:kern w:val="2"/>
                <w:sz w:val="24"/>
                <w:szCs w:val="24"/>
                <w:highlight w:val="none"/>
                <w:lang w:val="en-US" w:eastAsia="zh-CN" w:bidi="ar-SA"/>
              </w:rPr>
              <w:t>刘江宁</w:t>
            </w:r>
          </w:p>
        </w:tc>
        <w:tc>
          <w:tcPr>
            <w:tcW w:w="3373" w:type="dxa"/>
            <w:vAlign w:val="center"/>
          </w:tcPr>
          <w:p w14:paraId="7F906A47">
            <w:pPr>
              <w:widowControl w:val="0"/>
              <w:adjustRightInd w:val="0"/>
              <w:snapToGrid w:val="0"/>
              <w:spacing w:line="240" w:lineRule="auto"/>
              <w:ind w:left="0" w:leftChars="0" w:firstLine="0" w:firstLineChars="0"/>
              <w:jc w:val="center"/>
              <w:rPr>
                <w:rFonts w:hint="eastAsia" w:ascii="仿宋" w:hAnsi="仿宋" w:eastAsia="仿宋" w:cs="仿宋"/>
                <w:b w:val="0"/>
                <w:bCs/>
                <w:kern w:val="2"/>
                <w:sz w:val="24"/>
                <w:szCs w:val="24"/>
                <w:highlight w:val="none"/>
                <w:lang w:val="en-US" w:eastAsia="zh-CN" w:bidi="ar-SA"/>
              </w:rPr>
            </w:pPr>
            <w:r>
              <w:rPr>
                <w:rFonts w:hint="eastAsia" w:ascii="仿宋" w:hAnsi="仿宋" w:eastAsia="仿宋" w:cs="仿宋"/>
                <w:b w:val="0"/>
                <w:bCs/>
                <w:kern w:val="2"/>
                <w:sz w:val="24"/>
                <w:szCs w:val="24"/>
                <w:highlight w:val="none"/>
                <w:lang w:val="en-US" w:eastAsia="zh-CN" w:bidi="ar-SA"/>
              </w:rPr>
              <w:t>中国医学科学院医学实验动物研究所</w:t>
            </w:r>
          </w:p>
        </w:tc>
        <w:tc>
          <w:tcPr>
            <w:tcW w:w="3492" w:type="dxa"/>
            <w:vAlign w:val="center"/>
          </w:tcPr>
          <w:p w14:paraId="26560384">
            <w:pPr>
              <w:widowControl w:val="0"/>
              <w:adjustRightInd w:val="0"/>
              <w:snapToGrid w:val="0"/>
              <w:spacing w:line="240" w:lineRule="auto"/>
              <w:ind w:left="0" w:leftChars="0" w:firstLine="0" w:firstLineChars="0"/>
              <w:jc w:val="center"/>
              <w:rPr>
                <w:rFonts w:hint="eastAsia" w:ascii="仿宋" w:hAnsi="仿宋" w:eastAsia="仿宋" w:cs="仿宋"/>
                <w:b w:val="0"/>
                <w:bCs/>
                <w:kern w:val="2"/>
                <w:sz w:val="24"/>
                <w:szCs w:val="24"/>
                <w:highlight w:val="none"/>
                <w:lang w:val="en-US" w:eastAsia="zh-CN" w:bidi="ar-SA"/>
              </w:rPr>
            </w:pPr>
            <w:r>
              <w:rPr>
                <w:rFonts w:hint="eastAsia" w:ascii="仿宋" w:hAnsi="仿宋" w:eastAsia="仿宋" w:cs="仿宋"/>
                <w:b w:val="0"/>
                <w:bCs/>
                <w:kern w:val="2"/>
                <w:sz w:val="24"/>
                <w:szCs w:val="24"/>
                <w:highlight w:val="none"/>
                <w:lang w:val="en-US" w:eastAsia="zh-CN" w:bidi="ar-SA"/>
              </w:rPr>
              <w:t>中国医学科学院医学实验动物研究所副所长</w:t>
            </w:r>
          </w:p>
        </w:tc>
        <w:tc>
          <w:tcPr>
            <w:tcW w:w="2140" w:type="dxa"/>
            <w:vAlign w:val="center"/>
          </w:tcPr>
          <w:p w14:paraId="2BF64376">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标准适用性验证</w:t>
            </w:r>
          </w:p>
        </w:tc>
      </w:tr>
      <w:tr w14:paraId="3C7B5C0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27" w:type="dxa"/>
            <w:vAlign w:val="center"/>
          </w:tcPr>
          <w:p w14:paraId="3A102027">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8</w:t>
            </w:r>
          </w:p>
        </w:tc>
        <w:tc>
          <w:tcPr>
            <w:tcW w:w="973" w:type="dxa"/>
            <w:vAlign w:val="center"/>
          </w:tcPr>
          <w:p w14:paraId="0484E472">
            <w:pPr>
              <w:widowControl w:val="0"/>
              <w:adjustRightInd w:val="0"/>
              <w:snapToGrid w:val="0"/>
              <w:spacing w:line="240" w:lineRule="auto"/>
              <w:ind w:left="0" w:leftChars="0" w:firstLine="0" w:firstLineChars="0"/>
              <w:jc w:val="center"/>
              <w:rPr>
                <w:rFonts w:hint="default" w:ascii="仿宋" w:hAnsi="仿宋" w:eastAsia="仿宋" w:cs="仿宋"/>
                <w:bCs/>
                <w:kern w:val="2"/>
                <w:sz w:val="24"/>
                <w:szCs w:val="24"/>
                <w:highlight w:val="none"/>
                <w:lang w:val="en-US" w:eastAsia="zh-CN" w:bidi="ar-SA"/>
              </w:rPr>
            </w:pPr>
            <w:r>
              <w:rPr>
                <w:rFonts w:hint="eastAsia" w:ascii="仿宋" w:hAnsi="仿宋" w:eastAsia="仿宋" w:cs="仿宋"/>
                <w:b w:val="0"/>
                <w:bCs/>
                <w:i w:val="0"/>
                <w:iCs w:val="0"/>
                <w:color w:val="auto"/>
                <w:kern w:val="2"/>
                <w:sz w:val="24"/>
                <w:szCs w:val="24"/>
                <w:highlight w:val="none"/>
                <w:lang w:val="en-US" w:eastAsia="zh-CN" w:bidi="ar-SA"/>
              </w:rPr>
              <w:t>王冰</w:t>
            </w:r>
          </w:p>
        </w:tc>
        <w:tc>
          <w:tcPr>
            <w:tcW w:w="3373" w:type="dxa"/>
            <w:vAlign w:val="center"/>
          </w:tcPr>
          <w:p w14:paraId="6552CBBC">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深圳市药品检验研究院</w:t>
            </w:r>
          </w:p>
          <w:p w14:paraId="7E5ED150">
            <w:pPr>
              <w:widowControl w:val="0"/>
              <w:adjustRightInd w:val="0"/>
              <w:snapToGrid w:val="0"/>
              <w:spacing w:line="240" w:lineRule="auto"/>
              <w:ind w:left="0" w:leftChars="0" w:firstLine="0" w:firstLineChars="0"/>
              <w:jc w:val="center"/>
              <w:rPr>
                <w:rFonts w:hint="default"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深圳市医疗器械监测中心</w:t>
            </w:r>
          </w:p>
        </w:tc>
        <w:tc>
          <w:tcPr>
            <w:tcW w:w="3492" w:type="dxa"/>
            <w:vAlign w:val="center"/>
          </w:tcPr>
          <w:p w14:paraId="0A2FB64A">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 xml:space="preserve">深圳市药品检验研究院院长 </w:t>
            </w:r>
          </w:p>
          <w:p w14:paraId="2641B38C">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院党委书记</w:t>
            </w:r>
          </w:p>
        </w:tc>
        <w:tc>
          <w:tcPr>
            <w:tcW w:w="2140" w:type="dxa"/>
            <w:vAlign w:val="center"/>
          </w:tcPr>
          <w:p w14:paraId="1E261AD6">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标准征求意见整理汇总</w:t>
            </w:r>
          </w:p>
        </w:tc>
      </w:tr>
      <w:tr w14:paraId="48F2694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27" w:type="dxa"/>
            <w:vAlign w:val="center"/>
          </w:tcPr>
          <w:p w14:paraId="289F2CDD">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9</w:t>
            </w:r>
          </w:p>
        </w:tc>
        <w:tc>
          <w:tcPr>
            <w:tcW w:w="973" w:type="dxa"/>
            <w:vAlign w:val="center"/>
          </w:tcPr>
          <w:p w14:paraId="1CABCDFC">
            <w:pPr>
              <w:widowControl w:val="0"/>
              <w:adjustRightInd w:val="0"/>
              <w:snapToGrid w:val="0"/>
              <w:spacing w:line="240" w:lineRule="auto"/>
              <w:ind w:left="0" w:leftChars="0" w:firstLine="0" w:firstLineChars="0"/>
              <w:jc w:val="center"/>
              <w:rPr>
                <w:rFonts w:hint="default"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吴兢兰</w:t>
            </w:r>
          </w:p>
        </w:tc>
        <w:tc>
          <w:tcPr>
            <w:tcW w:w="3373" w:type="dxa"/>
            <w:vAlign w:val="center"/>
          </w:tcPr>
          <w:p w14:paraId="038A3A0A">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中国医学科学院阜外医院</w:t>
            </w:r>
          </w:p>
          <w:p w14:paraId="77584CB4">
            <w:pPr>
              <w:widowControl w:val="0"/>
              <w:adjustRightInd w:val="0"/>
              <w:snapToGrid w:val="0"/>
              <w:spacing w:line="240" w:lineRule="auto"/>
              <w:ind w:left="0" w:leftChars="0" w:firstLine="0" w:firstLineChars="0"/>
              <w:jc w:val="center"/>
              <w:rPr>
                <w:rFonts w:hint="default"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心血管疾病国家重点实验室</w:t>
            </w:r>
          </w:p>
        </w:tc>
        <w:tc>
          <w:tcPr>
            <w:tcW w:w="3492" w:type="dxa"/>
            <w:vAlign w:val="center"/>
          </w:tcPr>
          <w:p w14:paraId="0B639348">
            <w:pPr>
              <w:widowControl w:val="0"/>
              <w:adjustRightInd w:val="0"/>
              <w:snapToGrid w:val="0"/>
              <w:spacing w:line="240" w:lineRule="auto"/>
              <w:ind w:left="0" w:leftChars="0" w:firstLine="0" w:firstLineChars="0"/>
              <w:jc w:val="center"/>
              <w:rPr>
                <w:rFonts w:hint="default"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心血管疾病国家重点实验室办公室人员</w:t>
            </w:r>
          </w:p>
        </w:tc>
        <w:tc>
          <w:tcPr>
            <w:tcW w:w="2140" w:type="dxa"/>
            <w:vAlign w:val="center"/>
          </w:tcPr>
          <w:p w14:paraId="15F393AA">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标准征求意见整理汇总</w:t>
            </w:r>
          </w:p>
        </w:tc>
      </w:tr>
      <w:tr w14:paraId="7A1E8D4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27" w:type="dxa"/>
            <w:vAlign w:val="center"/>
          </w:tcPr>
          <w:p w14:paraId="24C60451">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10</w:t>
            </w:r>
          </w:p>
        </w:tc>
        <w:tc>
          <w:tcPr>
            <w:tcW w:w="973" w:type="dxa"/>
            <w:vAlign w:val="center"/>
          </w:tcPr>
          <w:p w14:paraId="6AD55B60">
            <w:pPr>
              <w:widowControl w:val="0"/>
              <w:adjustRightInd w:val="0"/>
              <w:snapToGrid w:val="0"/>
              <w:spacing w:line="240" w:lineRule="auto"/>
              <w:ind w:left="0" w:leftChars="0" w:firstLine="0" w:firstLineChars="0"/>
              <w:jc w:val="center"/>
              <w:rPr>
                <w:rFonts w:hint="default"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贺春雨</w:t>
            </w:r>
          </w:p>
        </w:tc>
        <w:tc>
          <w:tcPr>
            <w:tcW w:w="3373" w:type="dxa"/>
            <w:vAlign w:val="center"/>
          </w:tcPr>
          <w:p w14:paraId="09B60032">
            <w:pPr>
              <w:widowControl w:val="0"/>
              <w:adjustRightInd w:val="0"/>
              <w:snapToGrid w:val="0"/>
              <w:spacing w:line="240" w:lineRule="auto"/>
              <w:ind w:left="0" w:leftChars="0" w:firstLine="0" w:firstLineChars="0"/>
              <w:jc w:val="center"/>
              <w:rPr>
                <w:rFonts w:hint="default" w:ascii="仿宋" w:hAnsi="仿宋" w:eastAsia="仿宋" w:cs="仿宋"/>
                <w:bCs/>
                <w:kern w:val="2"/>
                <w:sz w:val="24"/>
                <w:szCs w:val="24"/>
                <w:highlight w:val="none"/>
                <w:lang w:val="en-US" w:eastAsia="zh-CN" w:bidi="ar-SA"/>
              </w:rPr>
            </w:pPr>
            <w:r>
              <w:rPr>
                <w:rFonts w:hint="default" w:ascii="仿宋" w:hAnsi="仿宋" w:eastAsia="仿宋" w:cs="仿宋"/>
                <w:bCs/>
                <w:kern w:val="2"/>
                <w:sz w:val="24"/>
                <w:szCs w:val="24"/>
                <w:highlight w:val="none"/>
                <w:lang w:val="en-US" w:eastAsia="zh-CN" w:bidi="ar-SA"/>
              </w:rPr>
              <w:t>中国医学科学院阜外医院</w:t>
            </w:r>
          </w:p>
          <w:p w14:paraId="30A6F5C1">
            <w:pPr>
              <w:widowControl w:val="0"/>
              <w:adjustRightInd w:val="0"/>
              <w:snapToGrid w:val="0"/>
              <w:spacing w:line="240" w:lineRule="auto"/>
              <w:ind w:left="0" w:leftChars="0" w:firstLine="0" w:firstLineChars="0"/>
              <w:jc w:val="center"/>
              <w:rPr>
                <w:rFonts w:hint="default" w:ascii="仿宋" w:hAnsi="仿宋" w:eastAsia="仿宋" w:cs="仿宋"/>
                <w:bCs/>
                <w:kern w:val="2"/>
                <w:sz w:val="24"/>
                <w:szCs w:val="24"/>
                <w:highlight w:val="none"/>
                <w:lang w:val="en-US" w:eastAsia="zh-CN" w:bidi="ar-SA"/>
              </w:rPr>
            </w:pPr>
            <w:r>
              <w:rPr>
                <w:rFonts w:hint="default" w:ascii="仿宋" w:hAnsi="仿宋" w:eastAsia="仿宋" w:cs="仿宋"/>
                <w:bCs/>
                <w:kern w:val="2"/>
                <w:sz w:val="24"/>
                <w:szCs w:val="24"/>
                <w:highlight w:val="none"/>
                <w:lang w:val="en-US" w:eastAsia="zh-CN" w:bidi="ar-SA"/>
              </w:rPr>
              <w:t>心血管疾病国家重点实验室</w:t>
            </w:r>
          </w:p>
        </w:tc>
        <w:tc>
          <w:tcPr>
            <w:tcW w:w="3492" w:type="dxa"/>
            <w:vAlign w:val="center"/>
          </w:tcPr>
          <w:p w14:paraId="5D1E4C05">
            <w:pPr>
              <w:widowControl w:val="0"/>
              <w:adjustRightInd w:val="0"/>
              <w:snapToGrid w:val="0"/>
              <w:spacing w:line="240" w:lineRule="auto"/>
              <w:ind w:left="0" w:leftChars="0" w:firstLine="0" w:firstLineChars="0"/>
              <w:jc w:val="center"/>
              <w:rPr>
                <w:rFonts w:hint="default" w:ascii="仿宋" w:hAnsi="仿宋" w:eastAsia="仿宋" w:cs="仿宋"/>
                <w:bCs/>
                <w:kern w:val="2"/>
                <w:sz w:val="24"/>
                <w:szCs w:val="24"/>
                <w:highlight w:val="none"/>
                <w:lang w:val="en-US" w:eastAsia="zh-CN" w:bidi="ar-SA"/>
              </w:rPr>
            </w:pPr>
            <w:r>
              <w:rPr>
                <w:rFonts w:hint="default" w:ascii="仿宋" w:hAnsi="仿宋" w:eastAsia="仿宋" w:cs="仿宋"/>
                <w:bCs/>
                <w:kern w:val="2"/>
                <w:sz w:val="24"/>
                <w:szCs w:val="24"/>
                <w:highlight w:val="none"/>
                <w:lang w:val="en-US" w:eastAsia="zh-CN" w:bidi="ar-SA"/>
              </w:rPr>
              <w:t>心血管疾病国家重点实验室办公室人员</w:t>
            </w:r>
          </w:p>
        </w:tc>
        <w:tc>
          <w:tcPr>
            <w:tcW w:w="2140" w:type="dxa"/>
            <w:vAlign w:val="center"/>
          </w:tcPr>
          <w:p w14:paraId="4A6277F5">
            <w:pPr>
              <w:widowControl w:val="0"/>
              <w:adjustRightInd w:val="0"/>
              <w:snapToGrid w:val="0"/>
              <w:spacing w:line="240" w:lineRule="auto"/>
              <w:ind w:left="0" w:leftChars="0" w:firstLine="0" w:firstLineChars="0"/>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标准征求意见整理汇总</w:t>
            </w:r>
          </w:p>
        </w:tc>
      </w:tr>
    </w:tbl>
    <w:p w14:paraId="45648F4B">
      <w:pPr>
        <w:widowControl/>
        <w:ind w:firstLine="600" w:firstLineChars="200"/>
        <w:jc w:val="left"/>
        <w:rPr>
          <w:rFonts w:hint="eastAsia" w:ascii="仿宋" w:hAnsi="仿宋" w:eastAsia="仿宋" w:cs="仿宋"/>
          <w:color w:val="000000"/>
          <w:kern w:val="0"/>
          <w:sz w:val="30"/>
          <w:szCs w:val="30"/>
          <w:u w:val="none"/>
          <w:lang w:bidi="ar"/>
        </w:rPr>
      </w:pPr>
      <w:r>
        <w:rPr>
          <w:rFonts w:hint="eastAsia" w:ascii="仿宋" w:hAnsi="仿宋" w:eastAsia="仿宋" w:cs="仿宋"/>
          <w:color w:val="000000"/>
          <w:kern w:val="0"/>
          <w:sz w:val="30"/>
          <w:szCs w:val="30"/>
          <w:lang w:bidi="ar"/>
        </w:rPr>
        <w:t>标准编制的协作单位均在实验室生物安全领域、植物有害物防控研究领域、传染病动物实验研究、人类遗传资源研究等有着丰富的研究成果和实践经验，编制组涵盖了医学、生物学、农学等行业专家，包括</w:t>
      </w:r>
      <w:r>
        <w:rPr>
          <w:rFonts w:hint="eastAsia" w:ascii="仿宋" w:hAnsi="仿宋" w:eastAsia="仿宋" w:cs="仿宋"/>
          <w:b w:val="0"/>
          <w:bCs w:val="0"/>
          <w:color w:val="000000"/>
          <w:kern w:val="0"/>
          <w:sz w:val="30"/>
          <w:szCs w:val="30"/>
          <w:lang w:bidi="ar"/>
        </w:rPr>
        <w:t>:</w:t>
      </w:r>
      <w:r>
        <w:rPr>
          <w:rFonts w:hint="eastAsia" w:ascii="仿宋" w:hAnsi="仿宋" w:eastAsia="仿宋" w:cs="仿宋"/>
          <w:b w:val="0"/>
          <w:bCs w:val="0"/>
          <w:color w:val="000000"/>
          <w:kern w:val="0"/>
          <w:sz w:val="30"/>
          <w:szCs w:val="30"/>
          <w:u w:val="none"/>
          <w:lang w:val="en-US" w:eastAsia="zh-CN" w:bidi="ar"/>
        </w:rPr>
        <w:t>国家心血管病中心、中国医学科学院阜外医院、心血管疾病国家重点实验室、中国科学院武汉国家生物安全实验室、国家动物疫病防控高级别生物安全实验室、中国医学科学院阜外医院深圳医院、中国检验检疫科学研究院、中国医学科学院医学实验动物研究所、深圳市药品检验研究院、深圳市医疗器械监测中心</w:t>
      </w:r>
      <w:r>
        <w:rPr>
          <w:rFonts w:hint="eastAsia" w:ascii="仿宋" w:hAnsi="仿宋" w:eastAsia="仿宋" w:cs="仿宋"/>
          <w:color w:val="000000"/>
          <w:kern w:val="0"/>
          <w:sz w:val="30"/>
          <w:szCs w:val="30"/>
          <w:u w:val="none"/>
          <w:lang w:bidi="ar"/>
        </w:rPr>
        <w:t>。</w:t>
      </w:r>
    </w:p>
    <w:p w14:paraId="143704A3">
      <w:pPr>
        <w:keepNext w:val="0"/>
        <w:keepLines w:val="0"/>
        <w:widowControl/>
        <w:suppressLineNumbers w:val="0"/>
        <w:jc w:val="left"/>
        <w:rPr>
          <w:rFonts w:eastAsia="仿宋_GB2312"/>
          <w:color w:val="auto"/>
          <w:sz w:val="30"/>
          <w:szCs w:val="30"/>
        </w:rPr>
      </w:pPr>
      <w:r>
        <w:rPr>
          <w:rFonts w:hint="eastAsia" w:ascii="仿宋" w:hAnsi="仿宋" w:eastAsia="仿宋" w:cs="仿宋"/>
          <w:b/>
          <w:bCs/>
          <w:color w:val="auto"/>
          <w:kern w:val="0"/>
          <w:sz w:val="30"/>
          <w:szCs w:val="30"/>
          <w:lang w:val="en-US" w:eastAsia="zh-CN" w:bidi="ar"/>
        </w:rPr>
        <w:t xml:space="preserve">（三）起草过程 </w:t>
      </w:r>
    </w:p>
    <w:p w14:paraId="24062FAD">
      <w:pPr>
        <w:widowControl/>
        <w:ind w:firstLine="600" w:firstLineChars="200"/>
        <w:jc w:val="left"/>
        <w:rPr>
          <w:rFonts w:hint="eastAsia" w:ascii="仿宋" w:hAnsi="仿宋" w:eastAsia="仿宋" w:cs="仿宋"/>
          <w:b w:val="0"/>
          <w:bCs w:val="0"/>
          <w:color w:val="000000"/>
          <w:kern w:val="0"/>
          <w:sz w:val="30"/>
          <w:szCs w:val="30"/>
          <w:lang w:bidi="ar"/>
        </w:rPr>
      </w:pPr>
      <w:r>
        <w:rPr>
          <w:rFonts w:hint="eastAsia" w:ascii="仿宋" w:hAnsi="仿宋" w:eastAsia="仿宋" w:cs="仿宋"/>
          <w:color w:val="000000"/>
          <w:kern w:val="0"/>
          <w:sz w:val="30"/>
          <w:szCs w:val="30"/>
          <w:lang w:bidi="ar"/>
        </w:rPr>
        <w:t>本标准的制定主要是通过数据文献调研，</w:t>
      </w:r>
      <w:r>
        <w:rPr>
          <w:rFonts w:hint="eastAsia" w:ascii="仿宋" w:hAnsi="仿宋" w:eastAsia="仿宋" w:cs="仿宋"/>
          <w:color w:val="000000"/>
          <w:kern w:val="0"/>
          <w:sz w:val="30"/>
          <w:szCs w:val="30"/>
          <w:lang w:val="en-US" w:eastAsia="zh-CN" w:bidi="ar"/>
        </w:rPr>
        <w:t>建立实验室生物安全标准库，深入研究各项标准，充分了解科研实验室生物安全标准实施情况</w:t>
      </w:r>
      <w:r>
        <w:rPr>
          <w:rFonts w:hint="eastAsia" w:ascii="仿宋" w:hAnsi="仿宋" w:eastAsia="仿宋" w:cs="仿宋"/>
          <w:color w:val="000000"/>
          <w:kern w:val="0"/>
          <w:sz w:val="30"/>
          <w:szCs w:val="30"/>
          <w:lang w:eastAsia="zh-CN" w:bidi="ar"/>
        </w:rPr>
        <w:t>。</w:t>
      </w:r>
      <w:r>
        <w:rPr>
          <w:rFonts w:hint="eastAsia" w:ascii="仿宋" w:hAnsi="仿宋" w:eastAsia="仿宋" w:cs="仿宋"/>
          <w:color w:val="000000"/>
          <w:kern w:val="0"/>
          <w:sz w:val="30"/>
          <w:szCs w:val="30"/>
          <w:lang w:bidi="ar"/>
        </w:rPr>
        <w:t>对世界卫生组织(WHO)</w:t>
      </w:r>
      <w:r>
        <w:rPr>
          <w:rFonts w:hint="eastAsia" w:ascii="仿宋" w:hAnsi="仿宋" w:eastAsia="仿宋" w:cs="仿宋"/>
          <w:color w:val="000000"/>
          <w:kern w:val="0"/>
          <w:sz w:val="30"/>
          <w:szCs w:val="30"/>
          <w:lang w:eastAsia="zh-CN" w:bidi="ar"/>
        </w:rPr>
        <w:t>、</w:t>
      </w:r>
      <w:r>
        <w:rPr>
          <w:rFonts w:hint="eastAsia" w:ascii="仿宋" w:hAnsi="仿宋" w:eastAsia="仿宋" w:cs="仿宋"/>
          <w:color w:val="000000"/>
          <w:kern w:val="0"/>
          <w:sz w:val="30"/>
          <w:szCs w:val="30"/>
          <w:lang w:bidi="ar"/>
        </w:rPr>
        <w:t>美国、欧盟、日本等国外</w:t>
      </w:r>
      <w:r>
        <w:rPr>
          <w:rFonts w:hint="eastAsia" w:ascii="仿宋" w:hAnsi="仿宋" w:eastAsia="仿宋" w:cs="仿宋"/>
          <w:color w:val="000000"/>
          <w:kern w:val="0"/>
          <w:sz w:val="30"/>
          <w:szCs w:val="30"/>
          <w:lang w:val="en-US" w:eastAsia="zh-CN" w:bidi="ar"/>
        </w:rPr>
        <w:t>实验室生物安全</w:t>
      </w:r>
      <w:r>
        <w:rPr>
          <w:rFonts w:hint="eastAsia" w:ascii="仿宋" w:hAnsi="仿宋" w:eastAsia="仿宋" w:cs="仿宋"/>
          <w:color w:val="000000"/>
          <w:kern w:val="0"/>
          <w:sz w:val="30"/>
          <w:szCs w:val="30"/>
          <w:lang w:bidi="ar"/>
        </w:rPr>
        <w:t>标准</w:t>
      </w:r>
      <w:r>
        <w:rPr>
          <w:rFonts w:hint="eastAsia" w:ascii="仿宋" w:hAnsi="仿宋" w:eastAsia="仿宋" w:cs="仿宋"/>
          <w:color w:val="000000"/>
          <w:kern w:val="0"/>
          <w:sz w:val="30"/>
          <w:szCs w:val="30"/>
          <w:lang w:val="en-US" w:eastAsia="zh-CN" w:bidi="ar"/>
        </w:rPr>
        <w:t>和国内实验室生物安全标准进行系统的对比研究，同时对国内外风险管理指南</w:t>
      </w:r>
      <w:r>
        <w:rPr>
          <w:rFonts w:hint="eastAsia" w:ascii="仿宋" w:hAnsi="仿宋" w:eastAsia="仿宋" w:cs="仿宋"/>
          <w:color w:val="000000"/>
          <w:kern w:val="0"/>
          <w:sz w:val="30"/>
          <w:szCs w:val="30"/>
          <w:lang w:bidi="ar"/>
        </w:rPr>
        <w:t>、</w:t>
      </w:r>
      <w:r>
        <w:rPr>
          <w:rFonts w:hint="eastAsia" w:ascii="仿宋" w:hAnsi="仿宋" w:eastAsia="仿宋" w:cs="仿宋"/>
          <w:color w:val="000000"/>
          <w:kern w:val="0"/>
          <w:sz w:val="30"/>
          <w:szCs w:val="30"/>
          <w:lang w:val="en-US" w:eastAsia="zh-CN" w:bidi="ar"/>
        </w:rPr>
        <w:t>实验室仪器设备管理指南、实验室信息管理系统管理规范</w:t>
      </w:r>
      <w:r>
        <w:rPr>
          <w:rFonts w:hint="eastAsia" w:ascii="仿宋" w:hAnsi="仿宋" w:eastAsia="仿宋" w:cs="仿宋"/>
          <w:color w:val="000000"/>
          <w:kern w:val="0"/>
          <w:sz w:val="30"/>
          <w:szCs w:val="30"/>
          <w:lang w:bidi="ar"/>
        </w:rPr>
        <w:t>等与</w:t>
      </w:r>
      <w:r>
        <w:rPr>
          <w:rFonts w:hint="eastAsia" w:ascii="仿宋" w:hAnsi="仿宋" w:eastAsia="仿宋" w:cs="仿宋"/>
          <w:color w:val="000000"/>
          <w:kern w:val="0"/>
          <w:sz w:val="30"/>
          <w:szCs w:val="30"/>
          <w:lang w:val="en-US" w:eastAsia="zh-CN" w:bidi="ar"/>
        </w:rPr>
        <w:t>实验室生物安全</w:t>
      </w:r>
      <w:r>
        <w:rPr>
          <w:rFonts w:hint="eastAsia" w:ascii="仿宋" w:hAnsi="仿宋" w:eastAsia="仿宋" w:cs="仿宋"/>
          <w:color w:val="000000"/>
          <w:kern w:val="0"/>
          <w:sz w:val="30"/>
          <w:szCs w:val="30"/>
          <w:lang w:bidi="ar"/>
        </w:rPr>
        <w:t>相关的标准</w:t>
      </w:r>
      <w:r>
        <w:rPr>
          <w:rFonts w:hint="eastAsia" w:ascii="仿宋" w:hAnsi="仿宋" w:eastAsia="仿宋" w:cs="仿宋"/>
          <w:color w:val="000000"/>
          <w:kern w:val="0"/>
          <w:sz w:val="30"/>
          <w:szCs w:val="30"/>
          <w:lang w:val="en-US" w:eastAsia="zh-CN" w:bidi="ar"/>
        </w:rPr>
        <w:t>进行补充</w:t>
      </w:r>
      <w:r>
        <w:rPr>
          <w:rFonts w:hint="eastAsia" w:ascii="仿宋" w:hAnsi="仿宋" w:eastAsia="仿宋" w:cs="仿宋"/>
          <w:color w:val="000000"/>
          <w:kern w:val="0"/>
          <w:sz w:val="30"/>
          <w:szCs w:val="30"/>
          <w:lang w:bidi="ar"/>
        </w:rPr>
        <w:t>研究</w:t>
      </w:r>
      <w:r>
        <w:rPr>
          <w:rFonts w:hint="eastAsia" w:ascii="仿宋" w:hAnsi="仿宋" w:eastAsia="仿宋" w:cs="仿宋"/>
          <w:color w:val="000000"/>
          <w:kern w:val="0"/>
          <w:sz w:val="30"/>
          <w:szCs w:val="30"/>
          <w:lang w:eastAsia="zh-CN" w:bidi="ar"/>
        </w:rPr>
        <w:t>。</w:t>
      </w:r>
      <w:r>
        <w:rPr>
          <w:rFonts w:hint="eastAsia" w:ascii="仿宋" w:hAnsi="仿宋" w:eastAsia="仿宋" w:cs="仿宋"/>
          <w:color w:val="000000"/>
          <w:kern w:val="0"/>
          <w:sz w:val="30"/>
          <w:szCs w:val="30"/>
          <w:lang w:val="en-US" w:eastAsia="zh-CN" w:bidi="ar"/>
        </w:rPr>
        <w:t>结合我国科研实验室设施设计、设备选用及管理、生物安全防护、安保措施和制度规范等工作，归纳</w:t>
      </w:r>
      <w:r>
        <w:rPr>
          <w:rFonts w:hint="eastAsia" w:ascii="仿宋" w:hAnsi="仿宋" w:eastAsia="仿宋" w:cs="仿宋"/>
          <w:color w:val="000000"/>
          <w:kern w:val="0"/>
          <w:sz w:val="30"/>
          <w:szCs w:val="30"/>
          <w:lang w:bidi="ar"/>
        </w:rPr>
        <w:t>整理我国</w:t>
      </w:r>
      <w:r>
        <w:rPr>
          <w:rFonts w:hint="eastAsia" w:ascii="仿宋" w:hAnsi="仿宋" w:eastAsia="仿宋" w:cs="仿宋"/>
          <w:color w:val="000000"/>
          <w:kern w:val="0"/>
          <w:sz w:val="30"/>
          <w:szCs w:val="30"/>
          <w:lang w:val="en-US" w:eastAsia="zh-CN" w:bidi="ar"/>
        </w:rPr>
        <w:t>科研实验室生物安全管理目前仍存在的问题</w:t>
      </w:r>
      <w:r>
        <w:rPr>
          <w:rFonts w:hint="eastAsia" w:ascii="仿宋" w:hAnsi="仿宋" w:eastAsia="仿宋" w:cs="仿宋"/>
          <w:color w:val="000000"/>
          <w:kern w:val="0"/>
          <w:sz w:val="30"/>
          <w:szCs w:val="30"/>
          <w:lang w:eastAsia="zh-CN" w:bidi="ar"/>
        </w:rPr>
        <w:t>。</w:t>
      </w:r>
      <w:r>
        <w:rPr>
          <w:rFonts w:hint="eastAsia" w:ascii="仿宋" w:hAnsi="仿宋" w:eastAsia="仿宋" w:cs="仿宋"/>
          <w:color w:val="000000"/>
          <w:kern w:val="0"/>
          <w:sz w:val="30"/>
          <w:szCs w:val="30"/>
          <w:lang w:val="en-US" w:eastAsia="zh-CN" w:bidi="ar"/>
        </w:rPr>
        <w:t>针对现状和问题，</w:t>
      </w:r>
      <w:r>
        <w:rPr>
          <w:rFonts w:hint="eastAsia" w:ascii="仿宋" w:hAnsi="仿宋" w:eastAsia="仿宋" w:cs="仿宋"/>
          <w:color w:val="000000"/>
          <w:kern w:val="0"/>
          <w:sz w:val="30"/>
          <w:szCs w:val="30"/>
          <w:lang w:bidi="ar"/>
        </w:rPr>
        <w:t>提出标准文本和编制说明征求意见稿。在广泛征求意见的基础上提出送审稿。本标准</w:t>
      </w:r>
      <w:r>
        <w:rPr>
          <w:rFonts w:hint="eastAsia" w:ascii="仿宋" w:hAnsi="仿宋" w:eastAsia="仿宋" w:cs="仿宋"/>
          <w:color w:val="000000"/>
          <w:kern w:val="0"/>
          <w:sz w:val="30"/>
          <w:szCs w:val="30"/>
          <w:u w:val="none"/>
          <w:lang w:val="en-US" w:eastAsia="zh-CN" w:bidi="ar"/>
        </w:rPr>
        <w:t>将</w:t>
      </w:r>
      <w:r>
        <w:rPr>
          <w:rFonts w:hint="eastAsia" w:ascii="仿宋" w:hAnsi="仿宋" w:eastAsia="仿宋" w:cs="仿宋"/>
          <w:color w:val="000000"/>
          <w:kern w:val="0"/>
          <w:sz w:val="30"/>
          <w:szCs w:val="30"/>
          <w:u w:val="none"/>
          <w:lang w:bidi="ar"/>
        </w:rPr>
        <w:t>于</w:t>
      </w:r>
      <w:r>
        <w:rPr>
          <w:rFonts w:hint="eastAsia" w:ascii="仿宋" w:hAnsi="仿宋" w:eastAsia="仿宋" w:cs="仿宋"/>
          <w:color w:val="auto"/>
          <w:kern w:val="0"/>
          <w:sz w:val="30"/>
          <w:szCs w:val="30"/>
          <w:u w:val="none"/>
          <w:lang w:val="en-US" w:eastAsia="zh-CN" w:bidi="ar"/>
        </w:rPr>
        <w:t>2024</w:t>
      </w:r>
      <w:r>
        <w:rPr>
          <w:rFonts w:hint="eastAsia" w:ascii="仿宋" w:hAnsi="仿宋" w:eastAsia="仿宋" w:cs="仿宋"/>
          <w:color w:val="auto"/>
          <w:kern w:val="0"/>
          <w:sz w:val="30"/>
          <w:szCs w:val="30"/>
          <w:u w:val="none"/>
          <w:lang w:bidi="ar"/>
        </w:rPr>
        <w:t>年</w:t>
      </w:r>
      <w:r>
        <w:rPr>
          <w:rFonts w:hint="eastAsia" w:ascii="仿宋" w:hAnsi="仿宋" w:eastAsia="仿宋" w:cs="仿宋"/>
          <w:color w:val="auto"/>
          <w:kern w:val="0"/>
          <w:sz w:val="30"/>
          <w:szCs w:val="30"/>
          <w:u w:val="none"/>
          <w:lang w:val="en-US" w:eastAsia="zh-CN" w:bidi="ar"/>
        </w:rPr>
        <w:t>11</w:t>
      </w:r>
      <w:r>
        <w:rPr>
          <w:rFonts w:hint="eastAsia" w:ascii="仿宋" w:hAnsi="仿宋" w:eastAsia="仿宋" w:cs="仿宋"/>
          <w:color w:val="auto"/>
          <w:kern w:val="0"/>
          <w:sz w:val="30"/>
          <w:szCs w:val="30"/>
          <w:u w:val="none"/>
          <w:lang w:bidi="ar"/>
        </w:rPr>
        <w:t>月</w:t>
      </w:r>
      <w:r>
        <w:rPr>
          <w:rFonts w:hint="eastAsia" w:ascii="仿宋" w:hAnsi="仿宋" w:eastAsia="仿宋" w:cs="仿宋"/>
          <w:color w:val="000000"/>
          <w:kern w:val="0"/>
          <w:sz w:val="30"/>
          <w:szCs w:val="30"/>
          <w:lang w:bidi="ar"/>
        </w:rPr>
        <w:t>公开征求意见。</w:t>
      </w:r>
    </w:p>
    <w:p w14:paraId="0D0C450F">
      <w:pPr>
        <w:keepNext w:val="0"/>
        <w:keepLines w:val="0"/>
        <w:widowControl/>
        <w:suppressLineNumbers w:val="0"/>
        <w:jc w:val="left"/>
        <w:rPr>
          <w:rFonts w:eastAsia="仿宋_GB2312"/>
          <w:color w:val="auto"/>
          <w:sz w:val="30"/>
          <w:szCs w:val="30"/>
        </w:rPr>
      </w:pPr>
      <w:r>
        <w:rPr>
          <w:rFonts w:hint="eastAsia" w:ascii="黑体" w:hAnsi="宋体" w:eastAsia="黑体" w:cs="黑体"/>
          <w:b/>
          <w:bCs/>
          <w:color w:val="auto"/>
          <w:kern w:val="0"/>
          <w:sz w:val="30"/>
          <w:szCs w:val="30"/>
          <w:lang w:val="en-US" w:eastAsia="zh-CN" w:bidi="ar"/>
        </w:rPr>
        <w:t xml:space="preserve">二、与相关规范化文件和其他标准的关系 </w:t>
      </w:r>
    </w:p>
    <w:p w14:paraId="737FC6D0">
      <w:pPr>
        <w:keepNext w:val="0"/>
        <w:keepLines w:val="0"/>
        <w:widowControl/>
        <w:suppressLineNumbers w:val="0"/>
        <w:ind w:firstLine="600" w:firstLineChars="20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本标准属于卫生行业标准，与本标准相关的文件和标准有GB 19489《实验室 生物安全通用要求》、GB 19781《医学实验室安全要求》、GB 50346《生物安全实验室建筑技术规范》、GB/T 27428《植物生物安全实验室通用要求》、GB/T 43051《实验动物 动物实验生物安全通用要求》、WS 233《病原微生物实验室生物安全通用准则》、WS/T 442《临床实验室生物安全指南》、WS/T 496《临床实验室质量指标》、WS 589《病原微生物实验室生物安全标识》等等。</w:t>
      </w:r>
    </w:p>
    <w:p w14:paraId="786CE09C">
      <w:pPr>
        <w:widowControl/>
        <w:ind w:firstLine="600" w:firstLineChars="200"/>
        <w:jc w:val="left"/>
        <w:rPr>
          <w:rFonts w:hint="eastAsia" w:ascii="仿宋" w:hAnsi="仿宋" w:eastAsia="仿宋" w:cs="仿宋"/>
          <w:color w:val="000000"/>
          <w:kern w:val="0"/>
          <w:sz w:val="30"/>
          <w:szCs w:val="30"/>
          <w:lang w:val="en-US" w:eastAsia="zh-CN" w:bidi="ar"/>
        </w:rPr>
      </w:pPr>
      <w:r>
        <w:rPr>
          <w:rFonts w:hint="eastAsia" w:ascii="仿宋" w:hAnsi="仿宋" w:eastAsia="仿宋" w:cs="仿宋"/>
          <w:b w:val="0"/>
          <w:bCs w:val="0"/>
          <w:color w:val="auto"/>
          <w:kern w:val="0"/>
          <w:sz w:val="30"/>
          <w:szCs w:val="30"/>
          <w:lang w:bidi="ar"/>
        </w:rPr>
        <w:t>本标准</w:t>
      </w:r>
      <w:r>
        <w:rPr>
          <w:rFonts w:hint="eastAsia" w:ascii="仿宋" w:hAnsi="仿宋" w:eastAsia="仿宋" w:cs="仿宋"/>
          <w:b w:val="0"/>
          <w:bCs w:val="0"/>
          <w:color w:val="auto"/>
          <w:kern w:val="0"/>
          <w:sz w:val="30"/>
          <w:szCs w:val="30"/>
          <w:lang w:val="en-US" w:eastAsia="zh-CN" w:bidi="ar"/>
        </w:rPr>
        <w:t>在现有</w:t>
      </w:r>
      <w:r>
        <w:rPr>
          <w:rFonts w:hint="eastAsia" w:ascii="仿宋" w:hAnsi="仿宋" w:eastAsia="仿宋" w:cs="仿宋"/>
          <w:b w:val="0"/>
          <w:bCs w:val="0"/>
          <w:color w:val="auto"/>
          <w:kern w:val="0"/>
          <w:sz w:val="30"/>
          <w:szCs w:val="30"/>
          <w:lang w:bidi="ar"/>
        </w:rPr>
        <w:t>国家标准</w:t>
      </w:r>
      <w:r>
        <w:rPr>
          <w:rFonts w:hint="eastAsia" w:ascii="仿宋" w:hAnsi="仿宋" w:eastAsia="仿宋" w:cs="仿宋"/>
          <w:b w:val="0"/>
          <w:bCs w:val="0"/>
          <w:color w:val="auto"/>
          <w:kern w:val="0"/>
          <w:sz w:val="30"/>
          <w:szCs w:val="30"/>
          <w:lang w:val="en-US" w:eastAsia="zh-CN" w:bidi="ar"/>
        </w:rPr>
        <w:t>和</w:t>
      </w:r>
      <w:r>
        <w:rPr>
          <w:rFonts w:hint="eastAsia" w:ascii="仿宋" w:hAnsi="仿宋" w:eastAsia="仿宋" w:cs="仿宋"/>
          <w:b w:val="0"/>
          <w:bCs w:val="0"/>
          <w:color w:val="auto"/>
          <w:kern w:val="0"/>
          <w:sz w:val="30"/>
          <w:szCs w:val="30"/>
          <w:lang w:bidi="ar"/>
        </w:rPr>
        <w:t>行业标准</w:t>
      </w:r>
      <w:r>
        <w:rPr>
          <w:rFonts w:hint="eastAsia" w:ascii="仿宋" w:hAnsi="仿宋" w:eastAsia="仿宋" w:cs="仿宋"/>
          <w:b w:val="0"/>
          <w:bCs w:val="0"/>
          <w:color w:val="auto"/>
          <w:kern w:val="0"/>
          <w:sz w:val="30"/>
          <w:szCs w:val="30"/>
          <w:lang w:val="en-US" w:eastAsia="zh-CN" w:bidi="ar"/>
        </w:rPr>
        <w:t>的基础上</w:t>
      </w:r>
      <w:r>
        <w:rPr>
          <w:rFonts w:hint="eastAsia" w:ascii="仿宋" w:hAnsi="仿宋" w:eastAsia="仿宋" w:cs="仿宋"/>
          <w:b w:val="0"/>
          <w:bCs w:val="0"/>
          <w:color w:val="auto"/>
          <w:kern w:val="0"/>
          <w:sz w:val="30"/>
          <w:szCs w:val="30"/>
          <w:lang w:bidi="ar"/>
        </w:rPr>
        <w:t>，</w:t>
      </w:r>
      <w:r>
        <w:rPr>
          <w:rFonts w:hint="eastAsia" w:ascii="仿宋" w:hAnsi="仿宋" w:eastAsia="仿宋" w:cs="仿宋"/>
          <w:b w:val="0"/>
          <w:bCs w:val="0"/>
          <w:color w:val="auto"/>
          <w:kern w:val="0"/>
          <w:sz w:val="30"/>
          <w:szCs w:val="30"/>
          <w:lang w:val="en-US" w:eastAsia="zh-CN" w:bidi="ar"/>
        </w:rPr>
        <w:t>从</w:t>
      </w:r>
      <w:r>
        <w:rPr>
          <w:rFonts w:hint="eastAsia" w:ascii="仿宋" w:hAnsi="仿宋" w:eastAsia="仿宋" w:cs="仿宋"/>
          <w:b w:val="0"/>
          <w:bCs w:val="0"/>
          <w:color w:val="auto"/>
          <w:kern w:val="0"/>
          <w:sz w:val="30"/>
          <w:szCs w:val="30"/>
          <w:lang w:bidi="ar"/>
        </w:rPr>
        <w:t>多样本类型和多环节整合</w:t>
      </w:r>
      <w:r>
        <w:rPr>
          <w:rFonts w:hint="eastAsia" w:ascii="仿宋" w:hAnsi="仿宋" w:eastAsia="仿宋" w:cs="仿宋"/>
          <w:b w:val="0"/>
          <w:bCs w:val="0"/>
          <w:color w:val="auto"/>
          <w:kern w:val="0"/>
          <w:sz w:val="30"/>
          <w:szCs w:val="30"/>
          <w:lang w:val="en-US" w:eastAsia="zh-CN" w:bidi="ar"/>
        </w:rPr>
        <w:t>的角度出发</w:t>
      </w:r>
      <w:r>
        <w:rPr>
          <w:rFonts w:hint="eastAsia" w:ascii="仿宋" w:hAnsi="仿宋" w:eastAsia="仿宋" w:cs="仿宋"/>
          <w:b w:val="0"/>
          <w:bCs w:val="0"/>
          <w:color w:val="auto"/>
          <w:kern w:val="0"/>
          <w:sz w:val="30"/>
          <w:szCs w:val="30"/>
          <w:lang w:bidi="ar"/>
        </w:rPr>
        <w:t>，形成详细</w:t>
      </w:r>
      <w:r>
        <w:rPr>
          <w:rFonts w:hint="eastAsia" w:ascii="仿宋" w:hAnsi="仿宋" w:eastAsia="仿宋" w:cs="仿宋"/>
          <w:b w:val="0"/>
          <w:bCs w:val="0"/>
          <w:color w:val="auto"/>
          <w:kern w:val="0"/>
          <w:sz w:val="30"/>
          <w:szCs w:val="30"/>
          <w:lang w:val="en-US" w:eastAsia="zh-CN" w:bidi="ar"/>
        </w:rPr>
        <w:t>可</w:t>
      </w:r>
      <w:r>
        <w:rPr>
          <w:rFonts w:hint="eastAsia" w:ascii="仿宋" w:hAnsi="仿宋" w:eastAsia="仿宋" w:cs="仿宋"/>
          <w:b w:val="0"/>
          <w:bCs w:val="0"/>
          <w:color w:val="auto"/>
          <w:kern w:val="0"/>
          <w:sz w:val="30"/>
          <w:szCs w:val="30"/>
          <w:lang w:bidi="ar"/>
        </w:rPr>
        <w:t>操作</w:t>
      </w:r>
      <w:r>
        <w:rPr>
          <w:rFonts w:hint="eastAsia" w:ascii="仿宋" w:hAnsi="仿宋" w:eastAsia="仿宋" w:cs="仿宋"/>
          <w:b w:val="0"/>
          <w:bCs w:val="0"/>
          <w:color w:val="auto"/>
          <w:kern w:val="0"/>
          <w:sz w:val="30"/>
          <w:szCs w:val="30"/>
          <w:lang w:val="en-US" w:eastAsia="zh-CN" w:bidi="ar"/>
        </w:rPr>
        <w:t>的</w:t>
      </w:r>
      <w:r>
        <w:rPr>
          <w:rFonts w:hint="eastAsia" w:ascii="仿宋" w:hAnsi="仿宋" w:eastAsia="仿宋" w:cs="仿宋"/>
          <w:b w:val="0"/>
          <w:bCs w:val="0"/>
          <w:color w:val="auto"/>
          <w:kern w:val="0"/>
          <w:sz w:val="30"/>
          <w:szCs w:val="30"/>
          <w:lang w:bidi="ar"/>
        </w:rPr>
        <w:t>规范。</w:t>
      </w:r>
      <w:r>
        <w:rPr>
          <w:rFonts w:hint="eastAsia" w:ascii="仿宋" w:hAnsi="仿宋" w:eastAsia="仿宋" w:cs="仿宋"/>
          <w:b/>
          <w:bCs/>
          <w:color w:val="000000"/>
          <w:kern w:val="0"/>
          <w:sz w:val="30"/>
          <w:szCs w:val="30"/>
          <w:lang w:val="en-US" w:eastAsia="zh-CN" w:bidi="ar"/>
        </w:rPr>
        <w:t>在适用范围方面，</w:t>
      </w:r>
      <w:r>
        <w:rPr>
          <w:rFonts w:hint="eastAsia" w:ascii="仿宋" w:hAnsi="仿宋" w:eastAsia="仿宋" w:cs="仿宋"/>
          <w:color w:val="000000"/>
          <w:kern w:val="0"/>
          <w:sz w:val="30"/>
          <w:szCs w:val="30"/>
          <w:lang w:val="en-US" w:eastAsia="zh-CN" w:bidi="ar"/>
        </w:rPr>
        <w:t>国内标准如GB 19489《实验室 生物安全通用要求》、GB 50346《生物安全实验室建筑技术规范》等仅涉及从事人和动物致病微生物活动相关的生物安全实验室。而实际操作中，科研实验室的活动范围远不止于此，还涉及植物或生物样本活动。关于面向科研需求，涵盖动、植、微生物、人类遗传资源等类型科研实验室生物安全体系的构建，暂无成型的完整的可查标准。</w:t>
      </w:r>
    </w:p>
    <w:p w14:paraId="2E40933A">
      <w:pPr>
        <w:keepNext w:val="0"/>
        <w:keepLines w:val="0"/>
        <w:widowControl/>
        <w:suppressLineNumbers w:val="0"/>
        <w:ind w:firstLine="602" w:firstLineChars="200"/>
        <w:jc w:val="left"/>
        <w:rPr>
          <w:rFonts w:hint="eastAsia" w:ascii="仿宋" w:hAnsi="仿宋" w:eastAsia="仿宋" w:cs="仿宋"/>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在实验室分级分类方面，</w:t>
      </w:r>
      <w:r>
        <w:rPr>
          <w:rFonts w:hint="eastAsia" w:ascii="仿宋" w:hAnsi="仿宋" w:eastAsia="仿宋" w:cs="仿宋"/>
          <w:color w:val="000000"/>
          <w:kern w:val="0"/>
          <w:sz w:val="30"/>
          <w:szCs w:val="30"/>
          <w:lang w:val="en-US" w:eastAsia="zh-CN" w:bidi="ar"/>
        </w:rPr>
        <w:t>同一生物安全防护水平的实验室，在从事涉及动物、植物、微生物或人类遗传物质资源等实验活动时所面临的生物安全风险也不尽相同。而且一个实验室中，可能存在同时涉及动物、植物、微生物和人类遗传物质资源中的不同样本的研究。而现有的以生物安全防护水平不同分级来对实验室进行要求的GB 19489《实验室 生物安全通用要求》，和以动物、植物、微生物等不同样本类型对实验室进行要求的GB/T 43051《实验动物 动物实验生物安全通用要求》、GB/T 27428《植物生物安全实验室通用要求》和WS 233《病原微生物实验室生物安全通用准则》，未能将分级和分类有效融合，为不同实验室从事各类实验室活动提供参考。</w:t>
      </w:r>
    </w:p>
    <w:p w14:paraId="5CBAC23B">
      <w:pPr>
        <w:keepNext w:val="0"/>
        <w:keepLines w:val="0"/>
        <w:widowControl/>
        <w:suppressLineNumbers w:val="0"/>
        <w:ind w:firstLine="602" w:firstLineChars="200"/>
        <w:jc w:val="left"/>
        <w:rPr>
          <w:rFonts w:hint="eastAsia" w:ascii="仿宋" w:hAnsi="仿宋" w:eastAsia="仿宋" w:cs="仿宋"/>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在创新内容方面，</w:t>
      </w:r>
      <w:r>
        <w:rPr>
          <w:rFonts w:hint="eastAsia" w:ascii="仿宋" w:hAnsi="仿宋" w:eastAsia="仿宋" w:cs="仿宋"/>
          <w:color w:val="000000"/>
          <w:kern w:val="0"/>
          <w:sz w:val="30"/>
          <w:szCs w:val="30"/>
          <w:lang w:val="en-US" w:eastAsia="zh-CN" w:bidi="ar"/>
        </w:rPr>
        <w:t>GB 19489《实验室 生物安全通用要求》和WS 233《病原微生物实验室生物安全通用准则》侧重于生物安全体系文件的建设和管理，而对于科学研究和实际应用方面的管理相对传统，可通过信息化智能化等新兴元素赋能科研活动中生物安全的管理。此外，本标准非常注重生物安全文化建设，要求培养高素质的具有生物安全意识和职业素养的实验技术人员；建立结构化定量风险评估方法，用科学方法守住安全底线；倡导开展科普开放活动，降低神秘感，推动实验室生物安全走向大众。</w:t>
      </w:r>
    </w:p>
    <w:p w14:paraId="2FAA1D3D">
      <w:pPr>
        <w:keepNext w:val="0"/>
        <w:keepLines w:val="0"/>
        <w:widowControl/>
        <w:suppressLineNumbers w:val="0"/>
        <w:jc w:val="left"/>
        <w:rPr>
          <w:rFonts w:hint="eastAsia" w:ascii="仿宋" w:hAnsi="仿宋" w:eastAsia="仿宋" w:cs="仿宋"/>
          <w:color w:val="auto"/>
          <w:kern w:val="0"/>
          <w:sz w:val="30"/>
          <w:szCs w:val="30"/>
          <w:lang w:val="en-US" w:eastAsia="zh-CN" w:bidi="ar"/>
        </w:rPr>
      </w:pPr>
      <w:r>
        <w:rPr>
          <w:rFonts w:hint="eastAsia" w:ascii="黑体" w:hAnsi="宋体" w:eastAsia="黑体" w:cs="黑体"/>
          <w:b/>
          <w:bCs/>
          <w:color w:val="auto"/>
          <w:kern w:val="0"/>
          <w:sz w:val="30"/>
          <w:szCs w:val="30"/>
          <w:lang w:val="en-US" w:eastAsia="zh-CN" w:bidi="ar"/>
        </w:rPr>
        <w:t xml:space="preserve">三、国外相关规定和标准情况的对比说明 </w:t>
      </w:r>
    </w:p>
    <w:p w14:paraId="21429A1B">
      <w:pPr>
        <w:widowControl/>
        <w:ind w:firstLine="600" w:firstLineChars="200"/>
        <w:jc w:val="left"/>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本标准在修订过程中对世界卫生组织的《实验室生物安全手册》、国际标准化组织的</w:t>
      </w:r>
      <w:r>
        <w:rPr>
          <w:rFonts w:hint="eastAsia" w:ascii="仿宋" w:hAnsi="仿宋" w:eastAsia="仿宋" w:cs="仿宋"/>
          <w:kern w:val="0"/>
          <w:sz w:val="30"/>
          <w:szCs w:val="30"/>
          <w:lang w:bidi="ar"/>
        </w:rPr>
        <w:t>《医学实验室-安全要求》</w:t>
      </w:r>
      <w:r>
        <w:rPr>
          <w:rFonts w:hint="eastAsia" w:ascii="仿宋" w:hAnsi="仿宋" w:eastAsia="仿宋" w:cs="仿宋"/>
          <w:kern w:val="0"/>
          <w:sz w:val="30"/>
          <w:szCs w:val="30"/>
          <w:lang w:val="en-US" w:eastAsia="zh-CN" w:bidi="ar"/>
        </w:rPr>
        <w:t>、美国的《微生物和生物医学实验室生物安全》、以及加拿大的《生物安全标准》框架结构及具体内容进行了对比和研究。</w:t>
      </w:r>
    </w:p>
    <w:p w14:paraId="74F1ED52">
      <w:pPr>
        <w:widowControl/>
        <w:jc w:val="left"/>
        <w:rPr>
          <w:rFonts w:ascii="黑体" w:hAnsi="黑体" w:eastAsia="黑体" w:cs="黑体"/>
          <w:b/>
          <w:bCs/>
          <w:color w:val="000000"/>
          <w:kern w:val="0"/>
          <w:sz w:val="30"/>
          <w:szCs w:val="30"/>
          <w:highlight w:val="yellow"/>
          <w:lang w:bidi="ar"/>
        </w:rPr>
      </w:pPr>
      <w:r>
        <w:rPr>
          <w:rFonts w:hint="eastAsia" w:ascii="黑体" w:hAnsi="黑体" w:eastAsia="黑体" w:cs="黑体"/>
          <w:b/>
          <w:bCs/>
          <w:color w:val="000000"/>
          <w:kern w:val="0"/>
          <w:sz w:val="30"/>
          <w:szCs w:val="30"/>
          <w:lang w:val="en-US" w:eastAsia="zh-CN" w:bidi="ar"/>
        </w:rPr>
        <w:t>四</w:t>
      </w:r>
      <w:r>
        <w:rPr>
          <w:rFonts w:hint="eastAsia" w:ascii="黑体" w:hAnsi="黑体" w:eastAsia="黑体" w:cs="黑体"/>
          <w:b/>
          <w:bCs/>
          <w:color w:val="000000"/>
          <w:kern w:val="0"/>
          <w:sz w:val="30"/>
          <w:szCs w:val="30"/>
          <w:lang w:bidi="ar"/>
        </w:rPr>
        <w:t xml:space="preserve">、各项主要技术要求的编制原则及依据 </w:t>
      </w:r>
    </w:p>
    <w:p w14:paraId="547F8DA8">
      <w:pPr>
        <w:widowControl/>
        <w:jc w:val="left"/>
        <w:rPr>
          <w:rFonts w:ascii="黑体" w:hAnsi="黑体" w:eastAsia="黑体" w:cs="黑体"/>
          <w:b/>
          <w:bCs/>
          <w:color w:val="000000"/>
          <w:kern w:val="0"/>
          <w:sz w:val="30"/>
          <w:szCs w:val="30"/>
          <w:lang w:bidi="ar"/>
        </w:rPr>
      </w:pPr>
      <w:r>
        <w:rPr>
          <w:rFonts w:hint="eastAsia" w:ascii="黑体" w:hAnsi="黑体" w:eastAsia="黑体" w:cs="黑体"/>
          <w:b/>
          <w:bCs/>
          <w:color w:val="000000"/>
          <w:kern w:val="0"/>
          <w:sz w:val="30"/>
          <w:szCs w:val="30"/>
          <w:lang w:eastAsia="zh-CN" w:bidi="ar"/>
        </w:rPr>
        <w:t>（</w:t>
      </w:r>
      <w:r>
        <w:rPr>
          <w:rFonts w:hint="eastAsia" w:ascii="黑体" w:hAnsi="黑体" w:eastAsia="黑体" w:cs="黑体"/>
          <w:b/>
          <w:bCs/>
          <w:color w:val="000000"/>
          <w:kern w:val="0"/>
          <w:sz w:val="30"/>
          <w:szCs w:val="30"/>
          <w:lang w:val="en-US" w:eastAsia="zh-CN" w:bidi="ar"/>
        </w:rPr>
        <w:t>一</w:t>
      </w:r>
      <w:r>
        <w:rPr>
          <w:rFonts w:hint="eastAsia" w:ascii="黑体" w:hAnsi="黑体" w:eastAsia="黑体" w:cs="黑体"/>
          <w:b/>
          <w:bCs/>
          <w:color w:val="000000"/>
          <w:kern w:val="0"/>
          <w:sz w:val="30"/>
          <w:szCs w:val="30"/>
          <w:lang w:eastAsia="zh-CN" w:bidi="ar"/>
        </w:rPr>
        <w:t>）</w:t>
      </w:r>
      <w:r>
        <w:rPr>
          <w:rFonts w:hint="eastAsia" w:ascii="黑体" w:hAnsi="黑体" w:eastAsia="黑体" w:cs="黑体"/>
          <w:b/>
          <w:bCs/>
          <w:color w:val="000000"/>
          <w:kern w:val="0"/>
          <w:sz w:val="30"/>
          <w:szCs w:val="30"/>
          <w:lang w:bidi="ar"/>
        </w:rPr>
        <w:t>标准编制的原则</w:t>
      </w:r>
    </w:p>
    <w:p w14:paraId="557B84CC">
      <w:pPr>
        <w:widowControl/>
        <w:jc w:val="left"/>
        <w:rPr>
          <w:rFonts w:ascii="仿宋" w:hAnsi="仿宋" w:eastAsia="仿宋" w:cs="仿宋"/>
          <w:kern w:val="0"/>
          <w:sz w:val="30"/>
          <w:szCs w:val="30"/>
          <w:lang w:bidi="ar"/>
        </w:rPr>
      </w:pPr>
      <w:r>
        <w:rPr>
          <w:rFonts w:hint="eastAsia" w:ascii="仿宋" w:hAnsi="仿宋" w:eastAsia="仿宋" w:cs="仿宋"/>
          <w:kern w:val="0"/>
          <w:sz w:val="30"/>
          <w:szCs w:val="30"/>
          <w:lang w:val="en-US" w:eastAsia="zh-CN" w:bidi="ar"/>
        </w:rPr>
        <w:t>1.</w:t>
      </w:r>
      <w:r>
        <w:rPr>
          <w:rFonts w:hint="eastAsia" w:ascii="仿宋" w:hAnsi="仿宋" w:eastAsia="仿宋" w:cs="仿宋"/>
          <w:kern w:val="0"/>
          <w:sz w:val="30"/>
          <w:szCs w:val="30"/>
          <w:lang w:bidi="ar"/>
        </w:rPr>
        <w:t>先进性原则:本标准创新了管理体系。标准编制立足于保障科研实验室生物安全,进行生物安全风险管控。生物安全风险管理方法与国际上现行的标准《Laboratory biosafety manual， 4th edition》基本理念相一致。通过凝炼和统筹不同领域科研实验室的生物安全需求，使生物安全实验室风险分级、风险管理上自成体系，是对现行的国际和国家实验室生物安全标准的补充。</w:t>
      </w:r>
    </w:p>
    <w:p w14:paraId="422EA0BE">
      <w:pPr>
        <w:widowControl/>
        <w:jc w:val="left"/>
        <w:rPr>
          <w:rFonts w:ascii="仿宋" w:hAnsi="仿宋" w:eastAsia="仿宋" w:cs="仿宋"/>
          <w:kern w:val="0"/>
          <w:sz w:val="30"/>
          <w:szCs w:val="30"/>
          <w:lang w:bidi="ar"/>
        </w:rPr>
      </w:pPr>
      <w:r>
        <w:rPr>
          <w:rFonts w:hint="eastAsia" w:ascii="仿宋" w:hAnsi="仿宋" w:eastAsia="仿宋" w:cs="仿宋"/>
          <w:kern w:val="0"/>
          <w:sz w:val="30"/>
          <w:szCs w:val="30"/>
          <w:lang w:val="en-US" w:eastAsia="zh-CN" w:bidi="ar"/>
        </w:rPr>
        <w:t>2.</w:t>
      </w:r>
      <w:r>
        <w:rPr>
          <w:rFonts w:hint="eastAsia" w:ascii="仿宋" w:hAnsi="仿宋" w:eastAsia="仿宋" w:cs="仿宋"/>
          <w:kern w:val="0"/>
          <w:sz w:val="30"/>
          <w:szCs w:val="30"/>
          <w:lang w:bidi="ar"/>
        </w:rPr>
        <w:t>实用性原则:本标准满足了实际需求。标准的内容力求基于科研实验室的特点，充分分析不同等级不同样本的生物安全实验活动过程中的相关风险,结合各类实验室的特点及类型，提出了应用范围明确，要素清晰，可操作、可参照的技术要求。</w:t>
      </w:r>
    </w:p>
    <w:p w14:paraId="3E56962A">
      <w:pPr>
        <w:widowControl/>
        <w:jc w:val="left"/>
        <w:rPr>
          <w:rFonts w:ascii="仿宋" w:hAnsi="仿宋" w:eastAsia="仿宋" w:cs="仿宋"/>
          <w:kern w:val="0"/>
          <w:sz w:val="30"/>
          <w:szCs w:val="30"/>
          <w:lang w:bidi="ar"/>
        </w:rPr>
      </w:pPr>
      <w:r>
        <w:rPr>
          <w:rFonts w:hint="eastAsia" w:ascii="仿宋" w:hAnsi="仿宋" w:eastAsia="仿宋" w:cs="仿宋"/>
          <w:kern w:val="0"/>
          <w:sz w:val="30"/>
          <w:szCs w:val="30"/>
          <w:lang w:val="en-US" w:eastAsia="zh-CN" w:bidi="ar"/>
        </w:rPr>
        <w:t>3.</w:t>
      </w:r>
      <w:r>
        <w:rPr>
          <w:rFonts w:hint="eastAsia" w:ascii="仿宋" w:hAnsi="仿宋" w:eastAsia="仿宋" w:cs="仿宋"/>
          <w:kern w:val="0"/>
          <w:sz w:val="30"/>
          <w:szCs w:val="30"/>
          <w:lang w:bidi="ar"/>
        </w:rPr>
        <w:t>编写的规范性原则:本标准兼顾内容的完整和形式的规范两个方面。在内容上,研究确定科研实验室生物安全的关键要素，对风险管理、设施设备、防护要求、生物安保及管理要求等内容进行详细规定;在形式上，标准的格式符合GB/T 1.1《标准化工作导则 第1部分:标准的结构和编写》的要求。</w:t>
      </w:r>
    </w:p>
    <w:p w14:paraId="507BEAE7">
      <w:pPr>
        <w:widowControl/>
        <w:jc w:val="left"/>
        <w:rPr>
          <w:rFonts w:ascii="黑体" w:hAnsi="黑体" w:eastAsia="黑体" w:cs="黑体"/>
          <w:b/>
          <w:bCs/>
          <w:color w:val="000000"/>
          <w:kern w:val="0"/>
          <w:sz w:val="30"/>
          <w:szCs w:val="30"/>
          <w:lang w:bidi="ar"/>
        </w:rPr>
      </w:pPr>
      <w:r>
        <w:rPr>
          <w:rFonts w:hint="eastAsia" w:ascii="黑体" w:hAnsi="黑体" w:eastAsia="黑体" w:cs="黑体"/>
          <w:b/>
          <w:bCs/>
          <w:color w:val="000000"/>
          <w:kern w:val="0"/>
          <w:sz w:val="30"/>
          <w:szCs w:val="30"/>
          <w:lang w:eastAsia="zh-CN" w:bidi="ar"/>
        </w:rPr>
        <w:t>（</w:t>
      </w:r>
      <w:r>
        <w:rPr>
          <w:rFonts w:hint="eastAsia" w:ascii="黑体" w:hAnsi="黑体" w:eastAsia="黑体" w:cs="黑体"/>
          <w:b/>
          <w:bCs/>
          <w:color w:val="000000"/>
          <w:kern w:val="0"/>
          <w:sz w:val="30"/>
          <w:szCs w:val="30"/>
          <w:lang w:val="en-US" w:eastAsia="zh-CN" w:bidi="ar"/>
        </w:rPr>
        <w:t>二</w:t>
      </w:r>
      <w:r>
        <w:rPr>
          <w:rFonts w:hint="eastAsia" w:ascii="黑体" w:hAnsi="黑体" w:eastAsia="黑体" w:cs="黑体"/>
          <w:b/>
          <w:bCs/>
          <w:color w:val="000000"/>
          <w:kern w:val="0"/>
          <w:sz w:val="30"/>
          <w:szCs w:val="30"/>
          <w:lang w:eastAsia="zh-CN" w:bidi="ar"/>
        </w:rPr>
        <w:t>）</w:t>
      </w:r>
      <w:r>
        <w:rPr>
          <w:rFonts w:hint="eastAsia" w:ascii="黑体" w:hAnsi="黑体" w:eastAsia="黑体" w:cs="黑体"/>
          <w:b/>
          <w:bCs/>
          <w:color w:val="000000"/>
          <w:kern w:val="0"/>
          <w:sz w:val="30"/>
          <w:szCs w:val="30"/>
          <w:lang w:bidi="ar"/>
        </w:rPr>
        <w:t>标准编制的主要技术内容的论据</w:t>
      </w:r>
    </w:p>
    <w:p w14:paraId="70162DCE">
      <w:pPr>
        <w:widowControl/>
        <w:ind w:firstLine="600" w:firstLineChars="200"/>
        <w:jc w:val="left"/>
        <w:rPr>
          <w:rFonts w:ascii="仿宋" w:hAnsi="仿宋" w:eastAsia="仿宋" w:cs="仿宋"/>
          <w:kern w:val="0"/>
          <w:sz w:val="30"/>
          <w:szCs w:val="30"/>
          <w:lang w:bidi="ar"/>
        </w:rPr>
      </w:pPr>
      <w:r>
        <w:rPr>
          <w:rFonts w:hint="eastAsia" w:ascii="仿宋" w:hAnsi="仿宋" w:eastAsia="仿宋" w:cs="仿宋"/>
          <w:kern w:val="0"/>
          <w:sz w:val="30"/>
          <w:szCs w:val="30"/>
          <w:lang w:bidi="ar"/>
        </w:rPr>
        <w:t>主要技术内包括范围、规范性引用文件、术语和定义、风险管理、实验室设施设备要求、实验室防护要求、生物安保、安全管理制度。</w:t>
      </w:r>
    </w:p>
    <w:p w14:paraId="6E9B4563">
      <w:pPr>
        <w:widowControl/>
        <w:ind w:firstLine="600" w:firstLineChars="200"/>
        <w:jc w:val="left"/>
        <w:rPr>
          <w:rFonts w:ascii="仿宋" w:hAnsi="仿宋" w:eastAsia="仿宋" w:cs="仿宋"/>
          <w:kern w:val="0"/>
          <w:sz w:val="30"/>
          <w:szCs w:val="30"/>
          <w:lang w:bidi="ar"/>
        </w:rPr>
      </w:pPr>
      <w:r>
        <w:rPr>
          <w:rFonts w:hint="eastAsia" w:ascii="仿宋" w:hAnsi="仿宋" w:eastAsia="仿宋" w:cs="仿宋"/>
          <w:kern w:val="0"/>
          <w:sz w:val="30"/>
          <w:szCs w:val="30"/>
          <w:lang w:bidi="ar"/>
        </w:rPr>
        <w:t>本标准的应用范围适用于以科学技术研究为目的，从事生物因子操作的实验室。</w:t>
      </w:r>
    </w:p>
    <w:p w14:paraId="1B102B4F">
      <w:pPr>
        <w:widowControl/>
        <w:ind w:firstLine="600" w:firstLineChars="200"/>
        <w:jc w:val="left"/>
        <w:rPr>
          <w:rFonts w:ascii="仿宋" w:hAnsi="仿宋" w:eastAsia="仿宋" w:cs="仿宋"/>
          <w:kern w:val="0"/>
          <w:sz w:val="30"/>
          <w:szCs w:val="30"/>
          <w:lang w:bidi="ar"/>
        </w:rPr>
      </w:pPr>
      <w:r>
        <w:rPr>
          <w:rFonts w:hint="eastAsia" w:ascii="仿宋" w:hAnsi="仿宋" w:eastAsia="仿宋" w:cs="仿宋"/>
          <w:kern w:val="0"/>
          <w:sz w:val="30"/>
          <w:szCs w:val="30"/>
          <w:lang w:bidi="ar"/>
        </w:rPr>
        <w:t>风险管理章节中首先对风险管理的原则进行规定，主要参照CNAS-TRL-</w:t>
      </w:r>
      <w:r>
        <w:rPr>
          <w:rFonts w:ascii="仿宋" w:hAnsi="仿宋" w:eastAsia="仿宋" w:cs="仿宋"/>
          <w:kern w:val="0"/>
          <w:sz w:val="30"/>
          <w:szCs w:val="30"/>
          <w:lang w:bidi="ar"/>
        </w:rPr>
        <w:t>022</w:t>
      </w:r>
      <w:r>
        <w:rPr>
          <w:rFonts w:hint="eastAsia" w:ascii="仿宋" w:hAnsi="仿宋" w:eastAsia="仿宋" w:cs="仿宋"/>
          <w:kern w:val="0"/>
          <w:sz w:val="30"/>
          <w:szCs w:val="30"/>
          <w:lang w:bidi="ar"/>
        </w:rPr>
        <w:t>《实验室风险管理指南》相关要求</w:t>
      </w:r>
      <w:r>
        <w:rPr>
          <w:rFonts w:hint="eastAsia" w:ascii="仿宋" w:hAnsi="仿宋" w:eastAsia="仿宋" w:cs="仿宋"/>
          <w:kern w:val="0"/>
          <w:sz w:val="30"/>
          <w:szCs w:val="30"/>
          <w:lang w:eastAsia="zh-CN" w:bidi="ar"/>
        </w:rPr>
        <w:t>，</w:t>
      </w:r>
      <w:r>
        <w:rPr>
          <w:rFonts w:hint="eastAsia" w:ascii="仿宋" w:hAnsi="仿宋" w:eastAsia="仿宋" w:cs="仿宋"/>
          <w:kern w:val="0"/>
          <w:sz w:val="30"/>
          <w:szCs w:val="30"/>
          <w:lang w:bidi="ar"/>
        </w:rPr>
        <w:t>将风险管理视为信息收集、确定风险准则、风险评估、风险控制措施、制定风险控制方案、监督检查和持续改进以及过程记录与风险评估报告七个环节的循环往复，并对每个环节进行了要求，使得风险管理工作得以持续改进。</w:t>
      </w:r>
    </w:p>
    <w:p w14:paraId="0FE80A86">
      <w:pPr>
        <w:widowControl/>
        <w:ind w:firstLine="600" w:firstLineChars="200"/>
        <w:jc w:val="left"/>
        <w:rPr>
          <w:rFonts w:ascii="仿宋" w:hAnsi="仿宋" w:eastAsia="仿宋" w:cs="仿宋"/>
          <w:kern w:val="0"/>
          <w:sz w:val="30"/>
          <w:szCs w:val="30"/>
          <w:lang w:bidi="ar"/>
        </w:rPr>
      </w:pPr>
      <w:r>
        <w:rPr>
          <w:rFonts w:hint="eastAsia" w:ascii="仿宋" w:hAnsi="仿宋" w:eastAsia="仿宋" w:cs="仿宋"/>
          <w:kern w:val="0"/>
          <w:sz w:val="30"/>
          <w:szCs w:val="30"/>
          <w:lang w:bidi="ar"/>
        </w:rPr>
        <w:t>实验室设施设备要求方面，首先提出生物安全防护水平分级和设施设计要求，然后根据不同级别提出相应的设施设备要求，其中对于动物、植物等实验对象的特殊要求也进行了补充规定。主要参考GB 19489《实验室 生物安全通用要求》，同时考虑到实验对象的多样性，也充分参考了《植物生物安全实验室通用要求》《病原微生物实验室生物安全通用准则》《实验动物 动物实验生物安全通用要求》等相关标准。</w:t>
      </w:r>
    </w:p>
    <w:p w14:paraId="1AD6E301">
      <w:pPr>
        <w:widowControl/>
        <w:ind w:firstLine="600" w:firstLineChars="200"/>
        <w:jc w:val="left"/>
        <w:rPr>
          <w:rFonts w:ascii="仿宋" w:hAnsi="仿宋" w:eastAsia="仿宋" w:cs="仿宋"/>
          <w:kern w:val="0"/>
          <w:sz w:val="30"/>
          <w:szCs w:val="30"/>
          <w:lang w:bidi="ar"/>
        </w:rPr>
      </w:pPr>
      <w:r>
        <w:rPr>
          <w:rFonts w:hint="eastAsia" w:ascii="仿宋" w:hAnsi="仿宋" w:eastAsia="仿宋" w:cs="仿宋"/>
          <w:kern w:val="0"/>
          <w:sz w:val="30"/>
          <w:szCs w:val="30"/>
          <w:lang w:bidi="ar"/>
        </w:rPr>
        <w:t>实验室防护要求主要是从人员防护和操作防护两方面进行规定要求，尽可能降低生物安全风险，保障实验室生物安全。</w:t>
      </w:r>
    </w:p>
    <w:p w14:paraId="151462B9">
      <w:pPr>
        <w:widowControl/>
        <w:ind w:firstLine="600" w:firstLineChars="200"/>
        <w:jc w:val="left"/>
        <w:rPr>
          <w:rFonts w:ascii="仿宋" w:hAnsi="仿宋" w:eastAsia="仿宋" w:cs="仿宋"/>
          <w:color w:val="FF0000"/>
          <w:kern w:val="0"/>
          <w:sz w:val="30"/>
          <w:szCs w:val="30"/>
          <w:lang w:bidi="ar"/>
        </w:rPr>
      </w:pPr>
      <w:r>
        <w:rPr>
          <w:rFonts w:hint="eastAsia" w:ascii="仿宋" w:hAnsi="仿宋" w:eastAsia="仿宋" w:cs="仿宋"/>
          <w:kern w:val="0"/>
          <w:sz w:val="30"/>
          <w:szCs w:val="30"/>
          <w:lang w:bidi="ar"/>
        </w:rPr>
        <w:t>生物安保章节首先明确实验室生物安全保卫要求及存在风险，然后从样本库、数据和人员三大方面对生物安保风险进行了控制要求，最后以应急事件响应作为补充，防范风险造成严重后果。</w:t>
      </w:r>
    </w:p>
    <w:p w14:paraId="7C22A89E">
      <w:pPr>
        <w:widowControl/>
        <w:ind w:firstLine="600" w:firstLineChars="200"/>
        <w:jc w:val="left"/>
        <w:rPr>
          <w:rFonts w:ascii="仿宋" w:hAnsi="仿宋" w:eastAsia="仿宋" w:cs="仿宋"/>
          <w:kern w:val="0"/>
          <w:sz w:val="30"/>
          <w:szCs w:val="30"/>
          <w:lang w:bidi="ar"/>
        </w:rPr>
      </w:pPr>
      <w:r>
        <w:rPr>
          <w:rFonts w:hint="eastAsia" w:ascii="仿宋" w:hAnsi="仿宋" w:eastAsia="仿宋" w:cs="仿宋"/>
          <w:kern w:val="0"/>
          <w:sz w:val="30"/>
          <w:szCs w:val="30"/>
          <w:lang w:bidi="ar"/>
        </w:rPr>
        <w:t>安全管理制度作为最后章节，从组织要求、文件和记录、改进、资源要求、过程要求、管理及制度信息化等方面进行详细规定。</w:t>
      </w:r>
    </w:p>
    <w:p w14:paraId="52DE0684">
      <w:pPr>
        <w:keepNext w:val="0"/>
        <w:keepLines w:val="0"/>
        <w:widowControl/>
        <w:suppressLineNumbers w:val="0"/>
        <w:jc w:val="left"/>
        <w:rPr>
          <w:rFonts w:eastAsia="仿宋_GB2312"/>
          <w:color w:val="auto"/>
          <w:sz w:val="30"/>
          <w:szCs w:val="30"/>
        </w:rPr>
      </w:pPr>
      <w:r>
        <w:rPr>
          <w:rFonts w:hint="eastAsia" w:ascii="黑体" w:hAnsi="宋体" w:eastAsia="黑体" w:cs="黑体"/>
          <w:b/>
          <w:bCs/>
          <w:color w:val="auto"/>
          <w:kern w:val="0"/>
          <w:sz w:val="30"/>
          <w:szCs w:val="30"/>
          <w:lang w:val="en-US" w:eastAsia="zh-CN" w:bidi="ar"/>
        </w:rPr>
        <w:t xml:space="preserve">五、征求意见及采纳情况 </w:t>
      </w:r>
    </w:p>
    <w:p w14:paraId="512CDBC1">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截止到7月30日，征求了4家单位和个人的意见，收到意见3份。36条意见已经采纳，3条意见未采纳。不采纳意见的理由见征求意见汇总表。</w:t>
      </w:r>
    </w:p>
    <w:p w14:paraId="18E35966">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截止到11月5日，开展了第二轮征求意见，征求了4家单位和个人的意见，收到修改意见</w:t>
      </w:r>
      <w:r>
        <w:rPr>
          <w:rFonts w:hint="eastAsia" w:ascii="仿宋" w:hAnsi="仿宋" w:eastAsia="仿宋" w:cs="仿宋"/>
          <w:color w:val="000000"/>
          <w:kern w:val="0"/>
          <w:sz w:val="30"/>
          <w:szCs w:val="30"/>
          <w:highlight w:val="none"/>
          <w:lang w:val="en-US" w:eastAsia="zh-CN" w:bidi="ar"/>
        </w:rPr>
        <w:t>4份，其中无修改意见1份</w:t>
      </w:r>
      <w:r>
        <w:rPr>
          <w:rFonts w:hint="eastAsia" w:ascii="仿宋" w:hAnsi="仿宋" w:eastAsia="仿宋" w:cs="仿宋"/>
          <w:color w:val="000000"/>
          <w:kern w:val="0"/>
          <w:sz w:val="30"/>
          <w:szCs w:val="30"/>
          <w:lang w:val="en-US" w:eastAsia="zh-CN" w:bidi="ar"/>
        </w:rPr>
        <w:t>。20条意见均已采纳，详细内容见征求意见汇总表。</w:t>
      </w:r>
      <w:bookmarkStart w:id="0" w:name="_GoBack"/>
      <w:bookmarkEnd w:id="0"/>
    </w:p>
    <w:p w14:paraId="38979664">
      <w:pPr>
        <w:keepNext w:val="0"/>
        <w:keepLines w:val="0"/>
        <w:widowControl/>
        <w:suppressLineNumbers w:val="0"/>
        <w:jc w:val="left"/>
        <w:rPr>
          <w:rFonts w:eastAsia="仿宋_GB2312"/>
          <w:color w:val="auto"/>
          <w:sz w:val="30"/>
          <w:szCs w:val="30"/>
        </w:rPr>
      </w:pPr>
      <w:r>
        <w:rPr>
          <w:rFonts w:hint="eastAsia" w:ascii="黑体" w:hAnsi="宋体" w:eastAsia="黑体" w:cs="黑体"/>
          <w:b/>
          <w:bCs/>
          <w:color w:val="auto"/>
          <w:kern w:val="0"/>
          <w:sz w:val="30"/>
          <w:szCs w:val="30"/>
          <w:lang w:val="en-US" w:eastAsia="zh-CN" w:bidi="ar"/>
        </w:rPr>
        <w:t xml:space="preserve">六、重大意见分歧的处理结果和依据 </w:t>
      </w:r>
    </w:p>
    <w:p w14:paraId="4D4B5836">
      <w:pPr>
        <w:widowControl/>
        <w:ind w:firstLine="600" w:firstLineChars="20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本标准在制定过程中未出现重大分歧意见。 </w:t>
      </w:r>
    </w:p>
    <w:p w14:paraId="15F0CE48">
      <w:pPr>
        <w:widowControl/>
        <w:numPr>
          <w:ilvl w:val="0"/>
          <w:numId w:val="3"/>
        </w:numPr>
        <w:jc w:val="left"/>
        <w:rPr>
          <w:rFonts w:hint="eastAsia" w:ascii="黑体" w:hAnsi="宋体" w:eastAsia="黑体" w:cs="黑体"/>
          <w:b/>
          <w:bCs/>
          <w:color w:val="auto"/>
          <w:kern w:val="0"/>
          <w:sz w:val="30"/>
          <w:szCs w:val="30"/>
          <w:lang w:val="en-US" w:eastAsia="zh-CN" w:bidi="ar"/>
        </w:rPr>
      </w:pPr>
      <w:r>
        <w:rPr>
          <w:rFonts w:hint="eastAsia" w:ascii="黑体" w:hAnsi="宋体" w:eastAsia="黑体" w:cs="黑体"/>
          <w:b/>
          <w:bCs/>
          <w:color w:val="auto"/>
          <w:kern w:val="0"/>
          <w:sz w:val="30"/>
          <w:szCs w:val="30"/>
          <w:lang w:val="en-US" w:eastAsia="zh-CN" w:bidi="ar"/>
        </w:rPr>
        <w:t>实施标准的建议</w:t>
      </w:r>
    </w:p>
    <w:p w14:paraId="315796F4">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本标准建议发布六个月后实施（本标准需要使用单位有充分的过渡期，建议发布六个月后开始实施。）</w:t>
      </w:r>
    </w:p>
    <w:p w14:paraId="4795E77A">
      <w:pPr>
        <w:keepNext w:val="0"/>
        <w:keepLines w:val="0"/>
        <w:widowControl/>
        <w:suppressLineNumbers w:val="0"/>
        <w:jc w:val="left"/>
        <w:rPr>
          <w:rFonts w:hint="eastAsia" w:ascii="黑体" w:hAnsi="宋体" w:eastAsia="黑体" w:cs="黑体"/>
          <w:b/>
          <w:bCs/>
          <w:color w:val="auto"/>
          <w:kern w:val="0"/>
          <w:sz w:val="30"/>
          <w:szCs w:val="30"/>
          <w:lang w:val="en-US" w:eastAsia="zh-CN" w:bidi="ar"/>
        </w:rPr>
      </w:pPr>
      <w:r>
        <w:rPr>
          <w:rFonts w:hint="eastAsia" w:ascii="黑体" w:hAnsi="宋体" w:eastAsia="黑体" w:cs="黑体"/>
          <w:b/>
          <w:bCs/>
          <w:color w:val="auto"/>
          <w:kern w:val="0"/>
          <w:sz w:val="30"/>
          <w:szCs w:val="30"/>
          <w:lang w:val="en-US" w:eastAsia="zh-CN" w:bidi="ar"/>
        </w:rPr>
        <w:t>八、其他应予说明的事项</w:t>
      </w:r>
    </w:p>
    <w:p w14:paraId="6CB5D365">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无</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细黑">
    <w:altName w:val="微软雅黑"/>
    <w:panose1 w:val="02010600040101010101"/>
    <w:charset w:val="86"/>
    <w:family w:val="auto"/>
    <w:pitch w:val="default"/>
    <w:sig w:usb0="00000000" w:usb1="00000000" w:usb2="00000010" w:usb3="00000000" w:csb0="000400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48717">
    <w:pPr>
      <w:pStyle w:val="4"/>
    </w:pPr>
    <w:r>
      <mc:AlternateContent>
        <mc:Choice Requires="wps">
          <w:drawing>
            <wp:anchor distT="0" distB="0" distL="114300" distR="114300" simplePos="0" relativeHeight="251659264" behindDoc="0" locked="0" layoutInCell="1" allowOverlap="1">
              <wp:simplePos x="0" y="0"/>
              <wp:positionH relativeFrom="margin">
                <wp:posOffset>4948555</wp:posOffset>
              </wp:positionH>
              <wp:positionV relativeFrom="paragraph">
                <wp:posOffset>-85725</wp:posOffset>
              </wp:positionV>
              <wp:extent cx="325755" cy="240030"/>
              <wp:effectExtent l="0" t="0" r="0" b="0"/>
              <wp:wrapNone/>
              <wp:docPr id="1" name="文本框 1"/>
              <wp:cNvGraphicFramePr/>
              <a:graphic xmlns:a="http://schemas.openxmlformats.org/drawingml/2006/main">
                <a:graphicData uri="http://schemas.microsoft.com/office/word/2010/wordprocessingShape">
                  <wps:wsp>
                    <wps:cNvSpPr txBox="1"/>
                    <wps:spPr>
                      <a:xfrm>
                        <a:off x="0" y="0"/>
                        <a:ext cx="325755" cy="2400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12E9B5">
                          <w:pPr>
                            <w:pStyle w:val="4"/>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389.65pt;margin-top:-6.75pt;height:18.9pt;width:25.65pt;mso-position-horizontal-relative:margin;z-index:251659264;mso-width-relative:page;mso-height-relative:page;" filled="f" stroked="f" coordsize="21600,21600" o:gfxdata="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3b+q7aAAAACgEAAA8AAAAAAAAAAQAgAAAAIgAAAGRycy9kb3ducmV2Lnht&#10;bFBLAQIUABQAAAAIAIdO4kD5QgabMAIAAFUEAAAOAAAAAAAAAAEAIAAAACkBAABkcnMvZTJvRG9j&#10;LnhtbFBLBQYAAAAABgAGAFkBAADLBQAAAAA=&#10;">
              <v:fill on="f" focussize="0,0"/>
              <v:stroke on="f" weight="0.5pt"/>
              <v:imagedata o:title=""/>
              <o:lock v:ext="edit" aspectratio="f"/>
              <v:textbox inset="0mm,0mm,0mm,0mm">
                <w:txbxContent>
                  <w:p w14:paraId="2B12E9B5">
                    <w:pPr>
                      <w:pStyle w:val="4"/>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53EA4B"/>
    <w:multiLevelType w:val="singleLevel"/>
    <w:tmpl w:val="8953EA4B"/>
    <w:lvl w:ilvl="0" w:tentative="0">
      <w:start w:val="7"/>
      <w:numFmt w:val="chineseCounting"/>
      <w:suff w:val="nothing"/>
      <w:lvlText w:val="%1、"/>
      <w:lvlJc w:val="left"/>
      <w:rPr>
        <w:rFonts w:hint="eastAsia"/>
      </w:rPr>
    </w:lvl>
  </w:abstractNum>
  <w:abstractNum w:abstractNumId="1">
    <w:nsid w:val="2B6D236B"/>
    <w:multiLevelType w:val="multilevel"/>
    <w:tmpl w:val="2B6D236B"/>
    <w:lvl w:ilvl="0" w:tentative="0">
      <w:start w:val="1"/>
      <w:numFmt w:val="japaneseCounting"/>
      <w:suff w:val="space"/>
      <w:lvlText w:val="%1、"/>
      <w:lvlJc w:val="left"/>
      <w:pPr>
        <w:ind w:left="420" w:hanging="420"/>
      </w:pPr>
      <w:rPr>
        <w:rFonts w:hint="default" w:eastAsia="宋体" w:asciiTheme="majorEastAsia"/>
      </w:rPr>
    </w:lvl>
    <w:lvl w:ilvl="1" w:tentative="0">
      <w:start w:val="1"/>
      <w:numFmt w:val="lowerLetter"/>
      <w:pStyle w:val="18"/>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
    <w:nsid w:val="491A1BA1"/>
    <w:multiLevelType w:val="multilevel"/>
    <w:tmpl w:val="491A1BA1"/>
    <w:lvl w:ilvl="0" w:tentative="0">
      <w:start w:val="1"/>
      <w:numFmt w:val="decimal"/>
      <w:pStyle w:val="12"/>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hhMGFlYzJkZmQyYzVhNDExOGVhZTc5ZjMzZmZkZmIifQ=="/>
  </w:docVars>
  <w:rsids>
    <w:rsidRoot w:val="00172A27"/>
    <w:rsid w:val="00011841"/>
    <w:rsid w:val="00083214"/>
    <w:rsid w:val="000B21E7"/>
    <w:rsid w:val="000B6670"/>
    <w:rsid w:val="00106205"/>
    <w:rsid w:val="00147679"/>
    <w:rsid w:val="001579A0"/>
    <w:rsid w:val="00194593"/>
    <w:rsid w:val="001A68E1"/>
    <w:rsid w:val="001A7F0B"/>
    <w:rsid w:val="001C41FF"/>
    <w:rsid w:val="00203E40"/>
    <w:rsid w:val="002333E3"/>
    <w:rsid w:val="00251EE6"/>
    <w:rsid w:val="0025258D"/>
    <w:rsid w:val="00265EF7"/>
    <w:rsid w:val="002737A0"/>
    <w:rsid w:val="00294501"/>
    <w:rsid w:val="00296809"/>
    <w:rsid w:val="002C150C"/>
    <w:rsid w:val="00315363"/>
    <w:rsid w:val="00337507"/>
    <w:rsid w:val="003439B1"/>
    <w:rsid w:val="00343E96"/>
    <w:rsid w:val="003622EC"/>
    <w:rsid w:val="00385B3F"/>
    <w:rsid w:val="003A6529"/>
    <w:rsid w:val="003B0676"/>
    <w:rsid w:val="003C114E"/>
    <w:rsid w:val="003D58D3"/>
    <w:rsid w:val="003E2E5D"/>
    <w:rsid w:val="00437DD4"/>
    <w:rsid w:val="004563B8"/>
    <w:rsid w:val="004570DE"/>
    <w:rsid w:val="004D0D1A"/>
    <w:rsid w:val="004F2A9F"/>
    <w:rsid w:val="004F7623"/>
    <w:rsid w:val="00530C1C"/>
    <w:rsid w:val="005327D3"/>
    <w:rsid w:val="005336D0"/>
    <w:rsid w:val="00583DC0"/>
    <w:rsid w:val="00585B4B"/>
    <w:rsid w:val="00594665"/>
    <w:rsid w:val="005B0172"/>
    <w:rsid w:val="005F64C5"/>
    <w:rsid w:val="00615989"/>
    <w:rsid w:val="00684575"/>
    <w:rsid w:val="006A1A60"/>
    <w:rsid w:val="006B3A6C"/>
    <w:rsid w:val="006D2AB7"/>
    <w:rsid w:val="006F4A9C"/>
    <w:rsid w:val="00700EC9"/>
    <w:rsid w:val="00711E1E"/>
    <w:rsid w:val="00727EC3"/>
    <w:rsid w:val="00770DD2"/>
    <w:rsid w:val="00776536"/>
    <w:rsid w:val="00793A04"/>
    <w:rsid w:val="007A6F63"/>
    <w:rsid w:val="007B1536"/>
    <w:rsid w:val="00806BD5"/>
    <w:rsid w:val="00870877"/>
    <w:rsid w:val="0087492F"/>
    <w:rsid w:val="0088675D"/>
    <w:rsid w:val="00890380"/>
    <w:rsid w:val="008903A7"/>
    <w:rsid w:val="008B1E33"/>
    <w:rsid w:val="008E221E"/>
    <w:rsid w:val="008F172D"/>
    <w:rsid w:val="00926212"/>
    <w:rsid w:val="00932298"/>
    <w:rsid w:val="00940DF9"/>
    <w:rsid w:val="0094137C"/>
    <w:rsid w:val="009A39C3"/>
    <w:rsid w:val="009B1015"/>
    <w:rsid w:val="00A112AC"/>
    <w:rsid w:val="00A42494"/>
    <w:rsid w:val="00A54228"/>
    <w:rsid w:val="00A55EE2"/>
    <w:rsid w:val="00A5775C"/>
    <w:rsid w:val="00A614E3"/>
    <w:rsid w:val="00A90324"/>
    <w:rsid w:val="00AB4E22"/>
    <w:rsid w:val="00AF6341"/>
    <w:rsid w:val="00C33FF1"/>
    <w:rsid w:val="00C44669"/>
    <w:rsid w:val="00C64AA0"/>
    <w:rsid w:val="00C950B4"/>
    <w:rsid w:val="00CB10A8"/>
    <w:rsid w:val="00D37B12"/>
    <w:rsid w:val="00D665BE"/>
    <w:rsid w:val="00DA6685"/>
    <w:rsid w:val="00E56051"/>
    <w:rsid w:val="00E646E6"/>
    <w:rsid w:val="00E66D32"/>
    <w:rsid w:val="00E9471E"/>
    <w:rsid w:val="00EA322D"/>
    <w:rsid w:val="00EB30DC"/>
    <w:rsid w:val="00EE699C"/>
    <w:rsid w:val="00F03F4C"/>
    <w:rsid w:val="00F458F8"/>
    <w:rsid w:val="00F5660E"/>
    <w:rsid w:val="00FB6300"/>
    <w:rsid w:val="00FF2397"/>
    <w:rsid w:val="01BD7A4F"/>
    <w:rsid w:val="02D273BE"/>
    <w:rsid w:val="03B14382"/>
    <w:rsid w:val="054F0041"/>
    <w:rsid w:val="058261BD"/>
    <w:rsid w:val="09436A8B"/>
    <w:rsid w:val="0B8433C8"/>
    <w:rsid w:val="0C22134B"/>
    <w:rsid w:val="0CEC1C98"/>
    <w:rsid w:val="0E1213CB"/>
    <w:rsid w:val="0F6E26F8"/>
    <w:rsid w:val="0FAE4E7B"/>
    <w:rsid w:val="11943BFC"/>
    <w:rsid w:val="11EF20A7"/>
    <w:rsid w:val="12977E48"/>
    <w:rsid w:val="13ED3157"/>
    <w:rsid w:val="14CC2E75"/>
    <w:rsid w:val="15BA0A91"/>
    <w:rsid w:val="161423D9"/>
    <w:rsid w:val="18694BF1"/>
    <w:rsid w:val="194F322A"/>
    <w:rsid w:val="1A5560D7"/>
    <w:rsid w:val="1B26620D"/>
    <w:rsid w:val="1B2E24BD"/>
    <w:rsid w:val="1B756470"/>
    <w:rsid w:val="1BE63AC3"/>
    <w:rsid w:val="1EF46BC7"/>
    <w:rsid w:val="202E72A2"/>
    <w:rsid w:val="20DB1848"/>
    <w:rsid w:val="212131F4"/>
    <w:rsid w:val="2138691D"/>
    <w:rsid w:val="214A3AB1"/>
    <w:rsid w:val="22C329EB"/>
    <w:rsid w:val="258D5130"/>
    <w:rsid w:val="25DD44DF"/>
    <w:rsid w:val="25EA0109"/>
    <w:rsid w:val="26534E3A"/>
    <w:rsid w:val="27F31225"/>
    <w:rsid w:val="286A598B"/>
    <w:rsid w:val="2953641F"/>
    <w:rsid w:val="2AB56C65"/>
    <w:rsid w:val="2BF51A0F"/>
    <w:rsid w:val="2E3B5589"/>
    <w:rsid w:val="2E6F7A7E"/>
    <w:rsid w:val="30073ABF"/>
    <w:rsid w:val="302A3C52"/>
    <w:rsid w:val="31481E6B"/>
    <w:rsid w:val="32245FB0"/>
    <w:rsid w:val="328B4E7C"/>
    <w:rsid w:val="32A45F3D"/>
    <w:rsid w:val="340A6274"/>
    <w:rsid w:val="34161465"/>
    <w:rsid w:val="3438394D"/>
    <w:rsid w:val="35843E04"/>
    <w:rsid w:val="35D07049"/>
    <w:rsid w:val="36AE1F30"/>
    <w:rsid w:val="36BF5A36"/>
    <w:rsid w:val="3772660A"/>
    <w:rsid w:val="37C77976"/>
    <w:rsid w:val="38264B36"/>
    <w:rsid w:val="394E09B1"/>
    <w:rsid w:val="39EA77A0"/>
    <w:rsid w:val="39F529A3"/>
    <w:rsid w:val="3B7C7A57"/>
    <w:rsid w:val="3BBA0580"/>
    <w:rsid w:val="3C9012E0"/>
    <w:rsid w:val="3CF67395"/>
    <w:rsid w:val="3E3A6F6C"/>
    <w:rsid w:val="3F220916"/>
    <w:rsid w:val="41017847"/>
    <w:rsid w:val="41263FC1"/>
    <w:rsid w:val="41764F49"/>
    <w:rsid w:val="41836C5C"/>
    <w:rsid w:val="418C3538"/>
    <w:rsid w:val="42677941"/>
    <w:rsid w:val="43210EE4"/>
    <w:rsid w:val="43AF64F0"/>
    <w:rsid w:val="43B12268"/>
    <w:rsid w:val="44714D71"/>
    <w:rsid w:val="458A0488"/>
    <w:rsid w:val="45B216FD"/>
    <w:rsid w:val="45D365A2"/>
    <w:rsid w:val="46A460B4"/>
    <w:rsid w:val="47C22C96"/>
    <w:rsid w:val="483B65A4"/>
    <w:rsid w:val="49211C3E"/>
    <w:rsid w:val="4A8420B3"/>
    <w:rsid w:val="4AFF5FAF"/>
    <w:rsid w:val="4C90519C"/>
    <w:rsid w:val="4CFF5469"/>
    <w:rsid w:val="4D265A75"/>
    <w:rsid w:val="4D2773F5"/>
    <w:rsid w:val="50552B58"/>
    <w:rsid w:val="51A56179"/>
    <w:rsid w:val="53300D07"/>
    <w:rsid w:val="534327B1"/>
    <w:rsid w:val="57263ED0"/>
    <w:rsid w:val="59C96098"/>
    <w:rsid w:val="59DE1DF2"/>
    <w:rsid w:val="5CB81CBE"/>
    <w:rsid w:val="5D131446"/>
    <w:rsid w:val="5EE412EC"/>
    <w:rsid w:val="5F061140"/>
    <w:rsid w:val="5FF268BC"/>
    <w:rsid w:val="60066F09"/>
    <w:rsid w:val="625F3421"/>
    <w:rsid w:val="63827325"/>
    <w:rsid w:val="63BA46DF"/>
    <w:rsid w:val="6461518D"/>
    <w:rsid w:val="66373AEA"/>
    <w:rsid w:val="677A44B4"/>
    <w:rsid w:val="67F85E08"/>
    <w:rsid w:val="68C81BCD"/>
    <w:rsid w:val="69344C1E"/>
    <w:rsid w:val="69840DE4"/>
    <w:rsid w:val="6C4578E8"/>
    <w:rsid w:val="6D0D36CA"/>
    <w:rsid w:val="6EC46A44"/>
    <w:rsid w:val="6F742218"/>
    <w:rsid w:val="6FD46EF9"/>
    <w:rsid w:val="70B060E0"/>
    <w:rsid w:val="72441D11"/>
    <w:rsid w:val="728D5BD6"/>
    <w:rsid w:val="72CE6278"/>
    <w:rsid w:val="73C179F6"/>
    <w:rsid w:val="74147B26"/>
    <w:rsid w:val="74424297"/>
    <w:rsid w:val="74D06143"/>
    <w:rsid w:val="75526B58"/>
    <w:rsid w:val="75720FA8"/>
    <w:rsid w:val="75C31803"/>
    <w:rsid w:val="77502F69"/>
    <w:rsid w:val="78490EF7"/>
    <w:rsid w:val="78FF6BC0"/>
    <w:rsid w:val="79BC6C95"/>
    <w:rsid w:val="7AC676A0"/>
    <w:rsid w:val="7C127B31"/>
    <w:rsid w:val="7CAC1243"/>
    <w:rsid w:val="7CD94362"/>
    <w:rsid w:val="7E317EC1"/>
    <w:rsid w:val="7E617E0B"/>
    <w:rsid w:val="7FA11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仿宋_GB2312" w:cs="Times New Roman"/>
      <w:kern w:val="2"/>
      <w:sz w:val="32"/>
      <w:szCs w:val="24"/>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21"/>
    <w:autoRedefine/>
    <w:unhideWhenUsed/>
    <w:qFormat/>
    <w:uiPriority w:val="99"/>
    <w:pPr>
      <w:jc w:val="left"/>
    </w:pPr>
  </w:style>
  <w:style w:type="paragraph" w:styleId="4">
    <w:name w:val="footer"/>
    <w:basedOn w:val="1"/>
    <w:link w:val="16"/>
    <w:autoRedefine/>
    <w:unhideWhenUsed/>
    <w:qFormat/>
    <w:uiPriority w:val="99"/>
    <w:pPr>
      <w:tabs>
        <w:tab w:val="center" w:pos="4153"/>
        <w:tab w:val="right" w:pos="8306"/>
      </w:tabs>
      <w:snapToGrid w:val="0"/>
      <w:jc w:val="left"/>
    </w:pPr>
    <w:rPr>
      <w:sz w:val="18"/>
      <w:szCs w:val="18"/>
    </w:rPr>
  </w:style>
  <w:style w:type="paragraph" w:styleId="5">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3"/>
    <w:next w:val="3"/>
    <w:link w:val="22"/>
    <w:autoRedefine/>
    <w:semiHidden/>
    <w:unhideWhenUsed/>
    <w:qFormat/>
    <w:uiPriority w:val="99"/>
    <w:rPr>
      <w:b/>
      <w:bCs/>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autoRedefine/>
    <w:semiHidden/>
    <w:unhideWhenUsed/>
    <w:qFormat/>
    <w:uiPriority w:val="99"/>
    <w:rPr>
      <w:color w:val="0000FF"/>
      <w:u w:val="single"/>
    </w:rPr>
  </w:style>
  <w:style w:type="character" w:styleId="11">
    <w:name w:val="annotation reference"/>
    <w:basedOn w:val="9"/>
    <w:autoRedefine/>
    <w:semiHidden/>
    <w:unhideWhenUsed/>
    <w:qFormat/>
    <w:uiPriority w:val="99"/>
    <w:rPr>
      <w:sz w:val="21"/>
      <w:szCs w:val="21"/>
    </w:rPr>
  </w:style>
  <w:style w:type="paragraph" w:customStyle="1" w:styleId="12">
    <w:name w:val="3级标题"/>
    <w:basedOn w:val="13"/>
    <w:next w:val="1"/>
    <w:link w:val="14"/>
    <w:autoRedefine/>
    <w:qFormat/>
    <w:uiPriority w:val="0"/>
    <w:pPr>
      <w:widowControl/>
      <w:numPr>
        <w:ilvl w:val="0"/>
        <w:numId w:val="1"/>
      </w:numPr>
      <w:tabs>
        <w:tab w:val="left" w:pos="993"/>
      </w:tabs>
      <w:spacing w:before="200" w:after="200"/>
      <w:ind w:left="420" w:hanging="420" w:firstLineChars="0"/>
      <w:jc w:val="left"/>
      <w:outlineLvl w:val="2"/>
    </w:pPr>
    <w:rPr>
      <w:rFonts w:ascii="Verdana" w:hAnsi="Verdana" w:eastAsia="华文细黑"/>
      <w:b/>
      <w:sz w:val="28"/>
    </w:rPr>
  </w:style>
  <w:style w:type="paragraph" w:styleId="13">
    <w:name w:val="List Paragraph"/>
    <w:basedOn w:val="1"/>
    <w:autoRedefine/>
    <w:qFormat/>
    <w:uiPriority w:val="34"/>
    <w:pPr>
      <w:ind w:firstLine="420" w:firstLineChars="200"/>
    </w:pPr>
  </w:style>
  <w:style w:type="character" w:customStyle="1" w:styleId="14">
    <w:name w:val="3级标题 字符"/>
    <w:basedOn w:val="9"/>
    <w:link w:val="12"/>
    <w:autoRedefine/>
    <w:qFormat/>
    <w:uiPriority w:val="0"/>
    <w:rPr>
      <w:rFonts w:ascii="Verdana" w:hAnsi="Verdana" w:eastAsia="华文细黑"/>
      <w:b/>
      <w:sz w:val="28"/>
      <w:szCs w:val="24"/>
    </w:rPr>
  </w:style>
  <w:style w:type="character" w:customStyle="1" w:styleId="15">
    <w:name w:val="页眉 字符"/>
    <w:basedOn w:val="9"/>
    <w:link w:val="5"/>
    <w:autoRedefine/>
    <w:qFormat/>
    <w:uiPriority w:val="99"/>
    <w:rPr>
      <w:sz w:val="18"/>
      <w:szCs w:val="18"/>
    </w:rPr>
  </w:style>
  <w:style w:type="character" w:customStyle="1" w:styleId="16">
    <w:name w:val="页脚 字符"/>
    <w:basedOn w:val="9"/>
    <w:link w:val="4"/>
    <w:autoRedefine/>
    <w:qFormat/>
    <w:uiPriority w:val="99"/>
    <w:rPr>
      <w:sz w:val="18"/>
      <w:szCs w:val="18"/>
    </w:rPr>
  </w:style>
  <w:style w:type="paragraph" w:customStyle="1" w:styleId="17">
    <w:name w:val="样式1"/>
    <w:basedOn w:val="1"/>
    <w:autoRedefine/>
    <w:qFormat/>
    <w:uiPriority w:val="0"/>
    <w:rPr>
      <w:rFonts w:ascii="仿宋_GB2312"/>
      <w:sz w:val="28"/>
    </w:rPr>
  </w:style>
  <w:style w:type="paragraph" w:customStyle="1" w:styleId="18">
    <w:name w:val="一级条标题"/>
    <w:next w:val="1"/>
    <w:autoRedefine/>
    <w:qFormat/>
    <w:uiPriority w:val="0"/>
    <w:pPr>
      <w:numPr>
        <w:ilvl w:val="1"/>
        <w:numId w:val="2"/>
      </w:numPr>
      <w:spacing w:before="156" w:beforeLines="50" w:after="156" w:afterLines="50"/>
      <w:ind w:left="3990"/>
      <w:outlineLvl w:val="2"/>
    </w:pPr>
    <w:rPr>
      <w:rFonts w:ascii="黑体" w:hAnsi="Times New Roman" w:eastAsia="黑体" w:cs="Times New Roman"/>
      <w:sz w:val="21"/>
      <w:szCs w:val="21"/>
      <w:lang w:val="en-US" w:eastAsia="zh-CN" w:bidi="ar-SA"/>
    </w:rPr>
  </w:style>
  <w:style w:type="paragraph" w:customStyle="1" w:styleId="19">
    <w:name w:val="列表段落1"/>
    <w:basedOn w:val="1"/>
    <w:autoRedefine/>
    <w:unhideWhenUsed/>
    <w:qFormat/>
    <w:uiPriority w:val="99"/>
    <w:pPr>
      <w:spacing w:line="276" w:lineRule="auto"/>
      <w:ind w:firstLine="420" w:firstLineChars="200"/>
    </w:pPr>
    <w:rPr>
      <w:sz w:val="22"/>
      <w:szCs w:val="22"/>
    </w:rPr>
  </w:style>
  <w:style w:type="paragraph" w:customStyle="1" w:styleId="20">
    <w:name w:val="Revision"/>
    <w:autoRedefine/>
    <w:hidden/>
    <w:semiHidden/>
    <w:qFormat/>
    <w:uiPriority w:val="99"/>
    <w:rPr>
      <w:rFonts w:ascii="Calibri" w:hAnsi="Calibri" w:eastAsia="仿宋_GB2312" w:cs="Times New Roman"/>
      <w:kern w:val="2"/>
      <w:sz w:val="32"/>
      <w:szCs w:val="24"/>
      <w:lang w:val="en-US" w:eastAsia="zh-CN" w:bidi="ar-SA"/>
    </w:rPr>
  </w:style>
  <w:style w:type="character" w:customStyle="1" w:styleId="21">
    <w:name w:val="批注文字 字符"/>
    <w:basedOn w:val="9"/>
    <w:link w:val="3"/>
    <w:autoRedefine/>
    <w:qFormat/>
    <w:uiPriority w:val="99"/>
    <w:rPr>
      <w:rFonts w:ascii="Calibri" w:hAnsi="Calibri" w:eastAsia="仿宋_GB2312"/>
      <w:kern w:val="2"/>
      <w:sz w:val="32"/>
      <w:szCs w:val="24"/>
    </w:rPr>
  </w:style>
  <w:style w:type="character" w:customStyle="1" w:styleId="22">
    <w:name w:val="批注主题 字符"/>
    <w:basedOn w:val="21"/>
    <w:link w:val="6"/>
    <w:autoRedefine/>
    <w:semiHidden/>
    <w:qFormat/>
    <w:uiPriority w:val="99"/>
    <w:rPr>
      <w:rFonts w:ascii="Calibri" w:hAnsi="Calibri" w:eastAsia="仿宋_GB2312"/>
      <w:b/>
      <w:bCs/>
      <w:kern w:val="2"/>
      <w:sz w:val="32"/>
      <w:szCs w:val="24"/>
    </w:rPr>
  </w:style>
  <w:style w:type="paragraph" w:customStyle="1" w:styleId="2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4117</Words>
  <Characters>4300</Characters>
  <Lines>23</Lines>
  <Paragraphs>6</Paragraphs>
  <TotalTime>13</TotalTime>
  <ScaleCrop>false</ScaleCrop>
  <LinksUpToDate>false</LinksUpToDate>
  <CharactersWithSpaces>4344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2021-10-14T06:30:00Z</dcterms:created>
  <dc:creator>白 建华</dc:creator>
  <cp:lastModifiedBy>吴兢兰3</cp:lastModifiedBy>
  <cp:lastPrinted>2024-08-02T05:18:00Z</cp:lastPrinted>
  <dcterms:modified xsi:type="dcterms:W3CDTF">2024-11-05T00:35:25Z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8386F5EA9634419E838A497373638A28_13</vt:lpwstr>
  </property>
</Properties>
</file>