
<file path=[Content_Types].xml><?xml version="1.0" encoding="utf-8"?>
<Types xmlns="http://schemas.openxmlformats.org/package/2006/content-types">
  <Default Extension="xml" ContentType="application/xml"/>
  <Default Extension="png" ContentType="image/png"/>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45"/>
      </w:tblGrid>
      <w:tr w14:paraId="25C19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2ED8712">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75E98A0">
            <w:pPr>
              <w:pStyle w:val="18"/>
              <w:framePr w:wrap="notBeside" w:vAnchor="page" w:hAnchor="page" w:x="1372" w:y="568"/>
              <w:tabs>
                <w:tab w:val="clear" w:pos="4153"/>
                <w:tab w:val="clear" w:pos="8306"/>
              </w:tabs>
              <w:spacing w:line="240" w:lineRule="auto"/>
              <w:ind w:left="3"/>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点击此处添加ICS号</w:t>
            </w:r>
            <w:r>
              <w:rPr>
                <w:rFonts w:ascii="黑体" w:hAnsi="黑体" w:eastAsia="黑体"/>
                <w:sz w:val="21"/>
                <w:szCs w:val="21"/>
              </w:rPr>
              <w:fldChar w:fldCharType="end"/>
            </w:r>
            <w:bookmarkEnd w:id="0"/>
          </w:p>
        </w:tc>
      </w:tr>
      <w:tr w14:paraId="0E542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832C820">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02153600">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p w14:paraId="60DAA2CA">
      <w:pPr>
        <w:pStyle w:val="50"/>
        <w:framePr w:w="9639" w:h="624" w:hRule="exact" w:hSpace="181" w:vSpace="181" w:wrap="around" w:hAnchor="page" w:x="1305" w:y="2269"/>
      </w:pPr>
      <w:bookmarkStart w:id="2" w:name="_Hlk26473981"/>
      <w:r>
        <w:rPr>
          <w:rFonts w:hint="eastAsia"/>
        </w:rPr>
        <w:t>中华人民共和国国家标准</w:t>
      </w:r>
    </w:p>
    <w:bookmarkEnd w:id="2"/>
    <w:p w14:paraId="7A39CFD1">
      <w:pPr>
        <w:pStyle w:val="195"/>
        <w:framePr/>
        <w:rPr>
          <w:lang w:val="fr-FR"/>
        </w:rPr>
      </w:pPr>
      <w:r>
        <w:fldChar w:fldCharType="begin">
          <w:ffData>
            <w:name w:val="文字1"/>
            <w:enabled/>
            <w:calcOnExit w:val="0"/>
            <w:textInput>
              <w:default w:val="GB/T"/>
            </w:textInput>
          </w:ffData>
        </w:fldChar>
      </w:r>
      <w:bookmarkStart w:id="3" w:name="文字1"/>
      <w:r>
        <w:rPr>
          <w:lang w:val="fr-FR"/>
        </w:rPr>
        <w:instrText xml:space="preserve"> FORMTEXT </w:instrText>
      </w:r>
      <w:r>
        <w:fldChar w:fldCharType="separate"/>
      </w:r>
      <w:r>
        <w:rPr>
          <w:lang w:val="fr-FR"/>
        </w:rPr>
        <w:t>GB</w:t>
      </w:r>
      <w:r>
        <w:fldChar w:fldCharType="end"/>
      </w:r>
      <w:bookmarkEnd w:id="3"/>
      <w:r>
        <w:rPr>
          <w:lang w:val="fr-FR"/>
        </w:rPr>
        <w:t xml:space="preserve"> </w:t>
      </w:r>
      <w:r>
        <w:fldChar w:fldCharType="begin">
          <w:ffData>
            <w:name w:val="NSTD_CODE_F"/>
            <w:enabled/>
            <w:calcOnExit w:val="0"/>
            <w:textInput>
              <w:default w:val="XXXXX"/>
            </w:textInput>
          </w:ffData>
        </w:fldChar>
      </w:r>
      <w:bookmarkStart w:id="4" w:name="NSTD_CODE_F"/>
      <w:r>
        <w:rPr>
          <w:lang w:val="fr-FR"/>
        </w:rPr>
        <w:instrText xml:space="preserve"> FORMTEXT </w:instrText>
      </w:r>
      <w:r>
        <w:fldChar w:fldCharType="separate"/>
      </w:r>
      <w:r>
        <w:rPr>
          <w:rFonts w:hint="eastAsia"/>
        </w:rPr>
        <w:t>37488</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14:paraId="15F4E04B">
      <w:pPr>
        <w:pStyle w:val="196"/>
        <w:framePr/>
        <w:rPr>
          <w:rFonts w:hint="eastAsia"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int="eastAsia" w:hAnsi="黑体"/>
        </w:rPr>
        <w:t>代替 GB 37488—2019</w:t>
      </w:r>
      <w:r>
        <w:rPr>
          <w:rFonts w:hAnsi="黑体"/>
        </w:rPr>
        <w:fldChar w:fldCharType="end"/>
      </w:r>
      <w:bookmarkEnd w:id="6"/>
    </w:p>
    <w:p w14:paraId="766358EF">
      <w:pPr>
        <w:spacing w:line="240" w:lineRule="auto"/>
        <w:ind w:left="8080"/>
        <w:rPr>
          <w:rFonts w:hint="eastAsia" w:ascii="黑体" w:hAnsi="黑体" w:eastAsia="黑体"/>
          <w:kern w:val="0"/>
          <w:sz w:val="52"/>
          <w:szCs w:val="20"/>
        </w:rPr>
      </w:pPr>
      <w:r>
        <w:rPr>
          <w:rFonts w:ascii="黑体" w:hAnsi="黑体" w:eastAsia="黑体"/>
          <w:kern w:val="0"/>
          <w:sz w:val="52"/>
          <w:szCs w:val="2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黑体" w:hAnsi="黑体" w:eastAsia="黑体"/>
          <w:kern w:val="0"/>
          <w:sz w:val="52"/>
          <w:szCs w:val="20"/>
        </w:rPr>
        <w:drawing>
          <wp:anchor distT="0" distB="0" distL="114300" distR="114300" simplePos="0" relativeHeight="251659264" behindDoc="0" locked="0" layoutInCell="1" allowOverlap="0">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14:paraId="088E9702">
      <w:pPr>
        <w:pStyle w:val="50"/>
        <w:framePr w:w="9639" w:h="6976" w:hRule="exact" w:hSpace="0" w:vSpace="0" w:wrap="around" w:hAnchor="page" w:y="6408"/>
        <w:jc w:val="center"/>
        <w:rPr>
          <w:rFonts w:hint="eastAsia" w:ascii="黑体" w:hAnsi="黑体" w:eastAsia="黑体"/>
          <w:b w:val="0"/>
          <w:bCs w:val="0"/>
          <w:w w:val="100"/>
        </w:rPr>
      </w:pPr>
    </w:p>
    <w:p w14:paraId="376E3F39">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公共场所卫生指标及限值要求</w:t>
      </w:r>
      <w:r>
        <w:fldChar w:fldCharType="end"/>
      </w:r>
      <w:bookmarkEnd w:id="7"/>
    </w:p>
    <w:p w14:paraId="757D2CDB">
      <w:pPr>
        <w:framePr w:w="9639" w:h="6974" w:hRule="exact" w:wrap="around" w:vAnchor="page" w:hAnchor="page" w:x="1419" w:y="6408" w:anchorLock="1"/>
        <w:ind w:left="-1418"/>
      </w:pPr>
    </w:p>
    <w:p w14:paraId="31D0B17F">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hint="eastAsia" w:eastAsia="黑体"/>
          <w:szCs w:val="28"/>
        </w:rPr>
        <w:t>Hygienic indicators and limits for public places</w:t>
      </w:r>
      <w:r>
        <w:rPr>
          <w:rFonts w:eastAsia="黑体"/>
          <w:szCs w:val="28"/>
        </w:rPr>
        <w:fldChar w:fldCharType="end"/>
      </w:r>
      <w:bookmarkEnd w:id="8"/>
    </w:p>
    <w:p w14:paraId="5157326E">
      <w:pPr>
        <w:framePr w:w="9639" w:h="6974" w:hRule="exact" w:wrap="around" w:vAnchor="page" w:hAnchor="page" w:x="1419" w:y="6408" w:anchorLock="1"/>
        <w:spacing w:line="760" w:lineRule="exact"/>
        <w:ind w:left="-1418"/>
      </w:pPr>
    </w:p>
    <w:p w14:paraId="24CA3ABF">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fldChar w:fldCharType="separate"/>
      </w:r>
      <w:r>
        <w:rPr>
          <w:rFonts w:hint="eastAsia" w:eastAsia="黑体"/>
          <w:szCs w:val="28"/>
        </w:rPr>
        <w:t>(点击此处添加与国际标准一致性程度的标识)</w:t>
      </w:r>
      <w:r>
        <w:rPr>
          <w:rFonts w:eastAsia="黑体"/>
          <w:szCs w:val="28"/>
        </w:rPr>
        <w:fldChar w:fldCharType="end"/>
      </w:r>
      <w:bookmarkEnd w:id="9"/>
    </w:p>
    <w:p w14:paraId="44DBCAAB">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4A438559">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0DF83CEF">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30789AB5">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01CAC16F">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2D0A10DD">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w:drawing>
          <wp:anchor distT="0" distB="0" distL="114300" distR="114300" simplePos="0" relativeHeight="251662336" behindDoc="0" locked="0" layoutInCell="1" allowOverlap="1">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r>
        <w:rPr>
          <w:rFonts w:hint="eastAsia" w:ascii="宋体" w:hAnsi="宋体"/>
          <w:sz w:val="28"/>
          <w:szCs w:val="28"/>
        </w:rPr>
        <w:t>`</w:t>
      </w:r>
    </w:p>
    <w:p w14:paraId="54A54CC8">
      <w:pPr>
        <w:pStyle w:val="89"/>
        <w:spacing w:after="468"/>
      </w:pPr>
      <w:bookmarkStart w:id="19" w:name="BookMark2"/>
      <w:r>
        <w:rPr>
          <w:rFonts w:hint="eastAsia"/>
          <w:spacing w:val="320"/>
        </w:rPr>
        <w:t>前</w:t>
      </w:r>
      <w:r>
        <w:rPr>
          <w:rFonts w:hint="eastAsia"/>
        </w:rPr>
        <w:t>言</w:t>
      </w:r>
    </w:p>
    <w:p w14:paraId="23886883">
      <w:pPr>
        <w:pStyle w:val="56"/>
        <w:ind w:firstLine="420"/>
      </w:pPr>
      <w:r>
        <w:rPr>
          <w:rFonts w:hint="eastAsia"/>
        </w:rPr>
        <w:t>本文件按照GB/T 1.1—2020《标准化工作导则  第1部分：标准化文件的结构和起草规则》的规定起草。</w:t>
      </w:r>
    </w:p>
    <w:p w14:paraId="293D36E7">
      <w:pPr>
        <w:pStyle w:val="56"/>
        <w:ind w:firstLine="420"/>
      </w:pPr>
      <w:r>
        <w:rPr>
          <w:rFonts w:hint="eastAsia"/>
        </w:rPr>
        <w:t>公共场所系列卫生标准由GB 37487《公共场所卫生管理规范》、GB 37488《公共场所卫生指标及限值要求》、GB 37489《公共场所设计卫生规范》、GB/T 18204《公共场所卫生检验方法》和GB/T 37678《公共场所卫生学评价规范》5 项标准组成。</w:t>
      </w:r>
    </w:p>
    <w:p w14:paraId="4D4073F8">
      <w:pPr>
        <w:pStyle w:val="56"/>
        <w:ind w:firstLine="420"/>
      </w:pPr>
      <w:r>
        <w:rPr>
          <w:rFonts w:hint="eastAsia"/>
        </w:rPr>
        <w:t>本文件代替GB 37488—2019《公共场所卫生指标及限值要求》，与GB 37488—2019相比，主要技术变化如下：</w:t>
      </w:r>
    </w:p>
    <w:p w14:paraId="69DF0AC1">
      <w:pPr>
        <w:pStyle w:val="56"/>
        <w:ind w:firstLine="420"/>
      </w:pPr>
      <w:r>
        <w:rPr>
          <w:rFonts w:hint="eastAsia"/>
        </w:rPr>
        <w:t>a)  将原标准中多个推荐性条款整合至附录A中；</w:t>
      </w:r>
    </w:p>
    <w:p w14:paraId="6CA6FD7E">
      <w:pPr>
        <w:pStyle w:val="56"/>
        <w:ind w:firstLine="420"/>
      </w:pPr>
      <w:r>
        <w:rPr>
          <w:rFonts w:hint="eastAsia"/>
        </w:rPr>
        <w:t>b)  将原标准中人工游泳池水中三卤甲烷（THMs）推荐性规定变更为强制性规定；</w:t>
      </w:r>
    </w:p>
    <w:p w14:paraId="265AFDC3">
      <w:pPr>
        <w:pStyle w:val="56"/>
        <w:ind w:firstLine="420"/>
      </w:pPr>
      <w:r>
        <w:rPr>
          <w:rFonts w:hint="eastAsia"/>
        </w:rPr>
        <w:t>c)  增加了高频接触物体表面的术语和定义；</w:t>
      </w:r>
    </w:p>
    <w:p w14:paraId="083DC96B">
      <w:pPr>
        <w:pStyle w:val="56"/>
        <w:ind w:firstLine="420"/>
      </w:pPr>
      <w:r>
        <w:rPr>
          <w:rFonts w:hint="eastAsia"/>
        </w:rPr>
        <w:t>d)  增加了公共场所室内空气中细颗粒物（PM</w:t>
      </w:r>
      <w:r>
        <w:rPr>
          <w:rFonts w:hint="eastAsia"/>
          <w:vertAlign w:val="subscript"/>
        </w:rPr>
        <w:t>2.5</w:t>
      </w:r>
      <w:r>
        <w:rPr>
          <w:rFonts w:hint="eastAsia"/>
        </w:rPr>
        <w:t>）、真菌总数等卫生学指标；</w:t>
      </w:r>
    </w:p>
    <w:p w14:paraId="7C26E130">
      <w:pPr>
        <w:pStyle w:val="56"/>
        <w:ind w:firstLine="420"/>
      </w:pPr>
      <w:r>
        <w:rPr>
          <w:rFonts w:hint="eastAsia"/>
        </w:rPr>
        <w:t>e)  增加了公共场所高频接触物体表面的外观要求；</w:t>
      </w:r>
    </w:p>
    <w:p w14:paraId="1FD03B75">
      <w:pPr>
        <w:pStyle w:val="56"/>
        <w:ind w:firstLine="420"/>
      </w:pPr>
      <w:r>
        <w:rPr>
          <w:rFonts w:hint="eastAsia"/>
        </w:rPr>
        <w:t>f)  增加了天然游泳池水中漂浮物质检验方法；</w:t>
      </w:r>
    </w:p>
    <w:p w14:paraId="397F7584">
      <w:pPr>
        <w:pStyle w:val="56"/>
        <w:ind w:firstLine="420"/>
      </w:pPr>
      <w:r>
        <w:rPr>
          <w:rFonts w:hint="eastAsia"/>
        </w:rPr>
        <w:t>g)  更改了规范性引用文件；</w:t>
      </w:r>
    </w:p>
    <w:p w14:paraId="434D902A">
      <w:pPr>
        <w:pStyle w:val="56"/>
        <w:ind w:firstLine="420"/>
      </w:pPr>
      <w:r>
        <w:rPr>
          <w:rFonts w:hint="eastAsia"/>
        </w:rPr>
        <w:t>h)  更改了公共场所冬季采用空调等调温方式的（不含公共浴室和游泳场（馆））室内温度的指标限值；</w:t>
      </w:r>
    </w:p>
    <w:p w14:paraId="570718CF">
      <w:pPr>
        <w:pStyle w:val="56"/>
        <w:ind w:firstLine="420"/>
      </w:pPr>
      <w:r>
        <w:rPr>
          <w:rFonts w:hint="eastAsia"/>
        </w:rPr>
        <w:t>i)  更改了公共场所夏季采用空调等调温方式的室内温度指标限值；</w:t>
      </w:r>
    </w:p>
    <w:p w14:paraId="22847064">
      <w:pPr>
        <w:pStyle w:val="56"/>
        <w:ind w:firstLine="420"/>
      </w:pPr>
      <w:r>
        <w:rPr>
          <w:rFonts w:hint="eastAsia"/>
        </w:rPr>
        <w:t>j)  更改了采用空调等调温方式的公共场所（不含游泳场（馆））相对湿度的范围；</w:t>
      </w:r>
    </w:p>
    <w:p w14:paraId="0685FD45">
      <w:pPr>
        <w:pStyle w:val="56"/>
        <w:ind w:firstLine="420"/>
      </w:pPr>
      <w:r>
        <w:rPr>
          <w:rFonts w:hint="eastAsia"/>
        </w:rPr>
        <w:t>k)  更改了部分指标名称，将“游泳池水浑浊度”变更为“浑浊度（散射浑浊度单位）”、“游离性余氯”变更为“游离氯”、“化合性余氯”变更为“化合氯”、“浸脚池游离性余氯”变更为“浸脚池游离氯”、“大肠菌群”更名为“总大肠菌群”；</w:t>
      </w:r>
    </w:p>
    <w:p w14:paraId="5FA26D17">
      <w:pPr>
        <w:pStyle w:val="56"/>
        <w:ind w:firstLine="420"/>
      </w:pPr>
      <w:r>
        <w:rPr>
          <w:rFonts w:hint="eastAsia"/>
        </w:rPr>
        <w:t>l)  更改了室内空气质量中“可吸入颗粒物（PM</w:t>
      </w:r>
      <w:r>
        <w:rPr>
          <w:rFonts w:hint="eastAsia"/>
          <w:vertAlign w:val="subscript"/>
        </w:rPr>
        <w:t>10</w:t>
      </w:r>
      <w:r>
        <w:rPr>
          <w:rFonts w:hint="eastAsia"/>
        </w:rPr>
        <w:t>）、甲醛、苯”等3项指标的限值要求；</w:t>
      </w:r>
    </w:p>
    <w:p w14:paraId="1875654F">
      <w:pPr>
        <w:pStyle w:val="56"/>
        <w:ind w:firstLine="420"/>
      </w:pPr>
      <w:r>
        <w:rPr>
          <w:rFonts w:hint="eastAsia"/>
        </w:rPr>
        <w:t>m)  更改了人工游泳池水中“温度、浑浊度、pH、氰尿酸、菌落总数”等5项指标的限值要求；</w:t>
      </w:r>
    </w:p>
    <w:p w14:paraId="75AA0155">
      <w:pPr>
        <w:pStyle w:val="56"/>
        <w:ind w:firstLine="420"/>
      </w:pPr>
      <w:r>
        <w:rPr>
          <w:rFonts w:hint="eastAsia"/>
        </w:rPr>
        <w:t>n)  更改了人工游泳池水中“氰尿酸”的备注；</w:t>
      </w:r>
    </w:p>
    <w:p w14:paraId="250FFFA8">
      <w:pPr>
        <w:pStyle w:val="56"/>
        <w:ind w:firstLine="420"/>
      </w:pPr>
      <w:r>
        <w:rPr>
          <w:rFonts w:hint="eastAsia"/>
        </w:rPr>
        <w:t>o)  更改了游泳池水氧化还原电位的测定方法；</w:t>
      </w:r>
    </w:p>
    <w:p w14:paraId="7B33BEA4">
      <w:pPr>
        <w:pStyle w:val="56"/>
        <w:ind w:firstLine="420"/>
      </w:pPr>
      <w:r>
        <w:rPr>
          <w:rFonts w:hint="eastAsia"/>
        </w:rPr>
        <w:t>p)  更改了氡的检验方法；</w:t>
      </w:r>
    </w:p>
    <w:p w14:paraId="2D707813">
      <w:pPr>
        <w:pStyle w:val="56"/>
        <w:ind w:firstLine="420"/>
      </w:pPr>
      <w:r>
        <w:rPr>
          <w:rFonts w:hint="eastAsia"/>
        </w:rPr>
        <w:t>q)  整合了原4.2.4的表3中臭氧、总挥发性有机物、氡的卫生要求至表2中。</w:t>
      </w:r>
    </w:p>
    <w:p w14:paraId="1751E7A3">
      <w:pPr>
        <w:pStyle w:val="56"/>
        <w:ind w:firstLine="420"/>
      </w:pPr>
    </w:p>
    <w:p w14:paraId="216B79CE">
      <w:pPr>
        <w:pStyle w:val="56"/>
        <w:ind w:firstLine="420"/>
      </w:pPr>
      <w:r>
        <w:rPr>
          <w:rFonts w:hint="eastAsia"/>
        </w:rPr>
        <w:t>请注意本文件的某些内容可能涉及专利。本文件的发布机构不承担识别专利的责任。</w:t>
      </w:r>
    </w:p>
    <w:p w14:paraId="27E6944F">
      <w:pPr>
        <w:pStyle w:val="56"/>
        <w:ind w:firstLine="420"/>
      </w:pPr>
      <w:r>
        <w:rPr>
          <w:rFonts w:hint="eastAsia"/>
        </w:rPr>
        <w:t>本文件由国家疾病预防控制局提出并归口。</w:t>
      </w:r>
    </w:p>
    <w:p w14:paraId="36086902">
      <w:pPr>
        <w:pStyle w:val="56"/>
        <w:ind w:firstLine="420"/>
      </w:pPr>
      <w:r>
        <w:rPr>
          <w:rFonts w:hint="eastAsia"/>
        </w:rPr>
        <w:t>本文件起草单位：中国疾病预防控制中心环境与健康相关产品安全所、江苏省疾病预防控制中心、上海市疾病预防控制中心、海南省疾病预防控制中心、海南大学、天津市疾病预防控制局、石家庄市疾病预防控制中心。</w:t>
      </w:r>
    </w:p>
    <w:p w14:paraId="541EBB29">
      <w:pPr>
        <w:pStyle w:val="56"/>
        <w:ind w:firstLine="420"/>
      </w:pPr>
      <w:r>
        <w:rPr>
          <w:rFonts w:hint="eastAsia"/>
        </w:rPr>
        <w:t>本文件主要起草人：姚孝元、王先良、苏丽琴、葛覃兮、徐顺清、丁震、陈田、王秦、韩旭、杜航、杨高峰、何昌华、陈凤格、刘航等。</w:t>
      </w:r>
    </w:p>
    <w:p w14:paraId="0B6B0AD0">
      <w:pPr>
        <w:pStyle w:val="56"/>
        <w:ind w:firstLine="420"/>
      </w:pPr>
      <w:r>
        <w:rPr>
          <w:rFonts w:hint="eastAsia"/>
        </w:rPr>
        <w:t>本标准所代替标准的历次版本发布情况为：</w:t>
      </w:r>
    </w:p>
    <w:p w14:paraId="64B52785">
      <w:pPr>
        <w:pStyle w:val="56"/>
        <w:ind w:firstLine="420"/>
      </w:pPr>
      <w:r>
        <w:rPr>
          <w:rFonts w:hint="eastAsia"/>
        </w:rPr>
        <w:t>——GB 9663～9673—1988、GB 9663～9673—1996；</w:t>
      </w:r>
    </w:p>
    <w:p w14:paraId="172FAB4E">
      <w:pPr>
        <w:pStyle w:val="56"/>
        <w:ind w:firstLine="420"/>
      </w:pPr>
      <w:r>
        <w:rPr>
          <w:rFonts w:hint="eastAsia"/>
        </w:rPr>
        <w:t>——GB 16153—1996；</w:t>
      </w:r>
    </w:p>
    <w:p w14:paraId="56D2595A">
      <w:pPr>
        <w:pStyle w:val="56"/>
        <w:ind w:firstLine="420"/>
      </w:pPr>
      <w:r>
        <w:rPr>
          <w:rFonts w:hint="eastAsia"/>
        </w:rPr>
        <w:t>——GB 37488—2019。</w:t>
      </w:r>
    </w:p>
    <w:p w14:paraId="4848775B">
      <w:pPr>
        <w:pStyle w:val="56"/>
        <w:ind w:firstLine="420"/>
      </w:pPr>
      <w:r>
        <w:rPr>
          <w:rFonts w:hint="eastAsia"/>
        </w:rPr>
        <w:t>——本次为第一次修订。</w:t>
      </w:r>
    </w:p>
    <w:p w14:paraId="0F48E32A">
      <w:pPr>
        <w:pStyle w:val="56"/>
        <w:ind w:firstLine="420"/>
      </w:pPr>
    </w:p>
    <w:p w14:paraId="69E7AB8E">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19"/>
    <w:p w14:paraId="3DFA0090">
      <w:pPr>
        <w:spacing w:line="20" w:lineRule="exact"/>
        <w:jc w:val="center"/>
        <w:rPr>
          <w:rFonts w:hint="eastAsia" w:ascii="黑体" w:hAnsi="黑体" w:eastAsia="黑体"/>
          <w:sz w:val="32"/>
          <w:szCs w:val="32"/>
        </w:rPr>
      </w:pPr>
      <w:bookmarkStart w:id="20" w:name="BookMark4"/>
    </w:p>
    <w:p w14:paraId="21F549FF">
      <w:pPr>
        <w:spacing w:line="20" w:lineRule="exact"/>
        <w:jc w:val="center"/>
        <w:rPr>
          <w:rFonts w:hint="eastAsia" w:ascii="黑体" w:hAnsi="黑体" w:eastAsia="黑体"/>
          <w:sz w:val="32"/>
          <w:szCs w:val="32"/>
        </w:rPr>
      </w:pPr>
    </w:p>
    <w:sdt>
      <w:sdtPr>
        <w:tag w:val="NEW_STAND_NAME"/>
        <w:id w:val="595910757"/>
        <w:lock w:val="sdtLocked"/>
        <w:placeholder>
          <w:docPart w:val="344E8D8E137A48FD98EE9C0872114C1F"/>
        </w:placeholder>
      </w:sdtPr>
      <w:sdtContent>
        <w:p w14:paraId="2807CACA">
          <w:pPr>
            <w:pStyle w:val="177"/>
            <w:spacing w:before="3" w:beforeLines="1" w:after="686" w:afterLines="220"/>
            <w:rPr>
              <w:rFonts w:hint="eastAsia"/>
            </w:rPr>
          </w:pPr>
          <w:bookmarkStart w:id="21" w:name="NEW_STAND_NAME"/>
          <w:r>
            <w:rPr>
              <w:rFonts w:hint="eastAsia"/>
            </w:rPr>
            <w:t>公共场所卫生指标及限值要求</w:t>
          </w:r>
        </w:p>
      </w:sdtContent>
    </w:sdt>
    <w:bookmarkEnd w:id="21"/>
    <w:p w14:paraId="0F0F4B68">
      <w:pPr>
        <w:pStyle w:val="104"/>
        <w:spacing w:before="312" w:after="312"/>
      </w:pPr>
      <w:bookmarkStart w:id="22" w:name="_Toc24884218"/>
      <w:bookmarkStart w:id="23" w:name="_Toc17233333"/>
      <w:bookmarkStart w:id="24" w:name="_Toc97190718"/>
      <w:bookmarkStart w:id="25" w:name="_Toc17233325"/>
      <w:bookmarkStart w:id="26" w:name="_Toc26718930"/>
      <w:bookmarkStart w:id="27" w:name="_Toc26986771"/>
      <w:bookmarkStart w:id="28" w:name="_Toc26648465"/>
      <w:bookmarkStart w:id="29" w:name="_Toc24884211"/>
      <w:bookmarkStart w:id="30" w:name="_Toc26986530"/>
      <w:r>
        <w:rPr>
          <w:rFonts w:hint="eastAsia"/>
        </w:rPr>
        <w:t>范围</w:t>
      </w:r>
      <w:bookmarkEnd w:id="22"/>
      <w:bookmarkEnd w:id="23"/>
      <w:bookmarkEnd w:id="24"/>
      <w:bookmarkEnd w:id="25"/>
      <w:bookmarkEnd w:id="26"/>
      <w:bookmarkEnd w:id="27"/>
      <w:bookmarkEnd w:id="28"/>
      <w:bookmarkEnd w:id="29"/>
      <w:bookmarkEnd w:id="30"/>
    </w:p>
    <w:p w14:paraId="7D71CE15">
      <w:pPr>
        <w:pStyle w:val="56"/>
        <w:ind w:firstLine="420"/>
      </w:pPr>
      <w:bookmarkStart w:id="31" w:name="_Toc17233326"/>
      <w:bookmarkStart w:id="32" w:name="_Toc17233334"/>
      <w:bookmarkStart w:id="33" w:name="_Toc24884212"/>
      <w:bookmarkStart w:id="34" w:name="_Toc24884219"/>
      <w:bookmarkStart w:id="35" w:name="_Toc26648466"/>
      <w:r>
        <w:rPr>
          <w:rFonts w:hint="eastAsia"/>
        </w:rPr>
        <w:t>本文件规定了公共场所的物理因素、室内空气质量、生活饮用水、游泳池水、沐浴用水、集中空调通风系统、公共用品用具及高频接触物体表面的卫生要求。</w:t>
      </w:r>
    </w:p>
    <w:p w14:paraId="0F0BFD1B">
      <w:pPr>
        <w:pStyle w:val="56"/>
        <w:ind w:firstLine="420"/>
      </w:pPr>
      <w:r>
        <w:rPr>
          <w:rFonts w:hint="eastAsia"/>
        </w:rPr>
        <w:t>本文件适用于宾馆、旅店、招待所、公共浴室、理发店、美容店、影剧院、录像厅（室）、游艺厅（室）、舞厅、音乐厅、体育场（馆）、游泳场（馆）、公园、展览馆、博物馆、美术馆、图书馆、商场（店）、书店、候诊室、候车(机、船）室及公共交通工具等公共场所。其他公共场所可参照使用。</w:t>
      </w:r>
    </w:p>
    <w:p w14:paraId="3D84E35E">
      <w:pPr>
        <w:pStyle w:val="104"/>
        <w:spacing w:before="312" w:after="312"/>
      </w:pPr>
      <w:bookmarkStart w:id="36" w:name="_Toc26986531"/>
      <w:bookmarkStart w:id="37" w:name="_Toc26718931"/>
      <w:bookmarkStart w:id="38" w:name="_Toc97190719"/>
      <w:bookmarkStart w:id="39" w:name="_Toc26986772"/>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23AE4607E4A84F9BA872C81D427F391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1F1D786">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11DE4F5">
      <w:pPr>
        <w:pStyle w:val="56"/>
        <w:ind w:firstLine="420"/>
      </w:pPr>
      <w:r>
        <w:rPr>
          <w:rFonts w:hint="eastAsia"/>
        </w:rPr>
        <w:t>GB 3095  环境空气质量标准</w:t>
      </w:r>
    </w:p>
    <w:p w14:paraId="06A9EF02">
      <w:pPr>
        <w:pStyle w:val="56"/>
        <w:ind w:firstLine="420"/>
      </w:pPr>
      <w:r>
        <w:rPr>
          <w:rFonts w:hint="eastAsia"/>
        </w:rPr>
        <w:t>GB 3097  海水水质标准</w:t>
      </w:r>
    </w:p>
    <w:p w14:paraId="013DC867">
      <w:pPr>
        <w:pStyle w:val="56"/>
        <w:ind w:firstLine="420"/>
      </w:pPr>
      <w:r>
        <w:rPr>
          <w:rFonts w:hint="eastAsia"/>
        </w:rPr>
        <w:t>GB 3838  地表水环境质量标准</w:t>
      </w:r>
    </w:p>
    <w:p w14:paraId="1DF0E51D">
      <w:pPr>
        <w:pStyle w:val="56"/>
        <w:ind w:firstLine="420"/>
      </w:pPr>
      <w:r>
        <w:rPr>
          <w:rFonts w:hint="eastAsia"/>
        </w:rPr>
        <w:t>GB 5749  生活饮用水卫生标准</w:t>
      </w:r>
    </w:p>
    <w:p w14:paraId="0D4FD603">
      <w:pPr>
        <w:pStyle w:val="56"/>
        <w:ind w:firstLine="420"/>
      </w:pPr>
      <w:r>
        <w:rPr>
          <w:rFonts w:hint="eastAsia"/>
        </w:rPr>
        <w:t>GB/T 5750  生活饮用水标准检验方法</w:t>
      </w:r>
    </w:p>
    <w:p w14:paraId="088DC471">
      <w:pPr>
        <w:pStyle w:val="56"/>
        <w:ind w:firstLine="420"/>
      </w:pPr>
      <w:r>
        <w:rPr>
          <w:rFonts w:hint="eastAsia"/>
        </w:rPr>
        <w:t>GB/T 7573  纺织品  水萃取液pH值的测定</w:t>
      </w:r>
    </w:p>
    <w:p w14:paraId="3751EF2E">
      <w:pPr>
        <w:pStyle w:val="56"/>
        <w:ind w:firstLine="420"/>
      </w:pPr>
      <w:r>
        <w:rPr>
          <w:rFonts w:hint="eastAsia"/>
        </w:rPr>
        <w:t>GB/T 11742  居住区大气中硫化氢卫生检验标准方法  亚甲蓝分光光度法</w:t>
      </w:r>
    </w:p>
    <w:p w14:paraId="50A1F6B2">
      <w:pPr>
        <w:pStyle w:val="56"/>
        <w:ind w:firstLine="420"/>
      </w:pPr>
      <w:r>
        <w:rPr>
          <w:rFonts w:hint="eastAsia"/>
        </w:rPr>
        <w:t>GB/T 17216  人防工程平时使用环境卫生要求</w:t>
      </w:r>
    </w:p>
    <w:p w14:paraId="3F14C2B8">
      <w:pPr>
        <w:pStyle w:val="56"/>
        <w:ind w:firstLine="420"/>
      </w:pPr>
      <w:r>
        <w:rPr>
          <w:rFonts w:hint="eastAsia"/>
        </w:rPr>
        <w:t>GB/T 18204  公共场所卫生检验方法</w:t>
      </w:r>
    </w:p>
    <w:p w14:paraId="70902CC3">
      <w:pPr>
        <w:pStyle w:val="56"/>
        <w:ind w:firstLine="420"/>
      </w:pPr>
      <w:r>
        <w:rPr>
          <w:rFonts w:hint="eastAsia"/>
        </w:rPr>
        <w:t>GB/T 18883  室内空气质量标准</w:t>
      </w:r>
    </w:p>
    <w:p w14:paraId="24814736">
      <w:pPr>
        <w:pStyle w:val="56"/>
        <w:ind w:firstLine="420"/>
      </w:pPr>
      <w:r>
        <w:rPr>
          <w:rFonts w:hint="eastAsia"/>
        </w:rPr>
        <w:t>WS 10013  公共场所集中空调通风系统卫生规范</w:t>
      </w:r>
    </w:p>
    <w:p w14:paraId="239F1C89">
      <w:pPr>
        <w:pStyle w:val="56"/>
        <w:ind w:firstLine="420"/>
      </w:pPr>
      <w:r>
        <w:rPr>
          <w:rFonts w:hint="eastAsia"/>
        </w:rPr>
        <w:t>WS/T 512  医疗机构环境表面清洁与消毒管理规范</w:t>
      </w:r>
    </w:p>
    <w:p w14:paraId="6C908163">
      <w:pPr>
        <w:pStyle w:val="56"/>
        <w:ind w:firstLine="420"/>
      </w:pPr>
      <w:r>
        <w:rPr>
          <w:rFonts w:hint="eastAsia"/>
        </w:rPr>
        <w:t>WS/T 776  农贸（集贸）市场新型冠状病毒环境监测技术规范</w:t>
      </w:r>
    </w:p>
    <w:p w14:paraId="7C366732">
      <w:pPr>
        <w:pStyle w:val="56"/>
        <w:ind w:firstLine="420"/>
      </w:pPr>
      <w:r>
        <w:rPr>
          <w:rFonts w:hint="eastAsia"/>
        </w:rPr>
        <w:t>CJ/T 244  游泳池水质标准</w:t>
      </w:r>
    </w:p>
    <w:p w14:paraId="4B068BC4">
      <w:pPr>
        <w:pStyle w:val="104"/>
        <w:spacing w:before="312" w:after="312"/>
      </w:pPr>
      <w:bookmarkStart w:id="40" w:name="_Toc97190720"/>
      <w:r>
        <w:rPr>
          <w:rFonts w:hint="eastAsia"/>
          <w:szCs w:val="21"/>
        </w:rPr>
        <w:t>术语和定义</w:t>
      </w:r>
      <w:bookmarkEnd w:id="40"/>
    </w:p>
    <w:sdt>
      <w:sdtPr>
        <w:id w:val="-1909835108"/>
        <w:placeholder>
          <w:docPart w:val="23AE4607E4A84F9BA872C81D427F391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CA426DE">
          <w:pPr>
            <w:pStyle w:val="56"/>
            <w:ind w:firstLine="420"/>
          </w:pPr>
          <w:bookmarkStart w:id="41" w:name="_Toc26986532"/>
          <w:bookmarkEnd w:id="41"/>
          <w:r>
            <w:t>下列术语和定义适用于本文件。</w:t>
          </w:r>
        </w:p>
      </w:sdtContent>
    </w:sdt>
    <w:p w14:paraId="63E43D91">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集中空调通风系统  central air </w:t>
      </w:r>
      <w:r>
        <w:rPr>
          <w:rFonts w:ascii="黑体" w:hAnsi="黑体" w:eastAsia="黑体"/>
        </w:rPr>
        <w:t>conditioning</w:t>
      </w:r>
      <w:r>
        <w:rPr>
          <w:rFonts w:hint="eastAsia" w:ascii="黑体" w:hAnsi="黑体" w:eastAsia="黑体"/>
        </w:rPr>
        <w:t xml:space="preserve"> </w:t>
      </w:r>
      <w:r>
        <w:rPr>
          <w:rFonts w:ascii="黑体" w:hAnsi="黑体" w:eastAsia="黑体"/>
        </w:rPr>
        <w:t>ventilation system</w:t>
      </w:r>
    </w:p>
    <w:p w14:paraId="6FECF60D">
      <w:pPr>
        <w:pStyle w:val="56"/>
        <w:ind w:firstLine="420"/>
      </w:pPr>
      <w:r>
        <w:rPr>
          <w:rFonts w:hint="eastAsia"/>
        </w:rPr>
        <w:t>为使房间或封闭空间空气温度、湿度、洁净度和气流速度等参数达到设定要求而对空气进行集中处</w:t>
      </w:r>
      <w:r>
        <w:br w:type="textWrapping"/>
      </w:r>
      <w:r>
        <w:rPr>
          <w:rFonts w:hint="eastAsia"/>
        </w:rPr>
        <w:t>理、输送、分配的所有设备、管道及附件、仪器仪表的总和。</w:t>
      </w:r>
    </w:p>
    <w:p w14:paraId="337509D3">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公共用品用具  public articles</w:t>
      </w:r>
    </w:p>
    <w:p w14:paraId="0682C9CD">
      <w:pPr>
        <w:pStyle w:val="56"/>
        <w:ind w:firstLine="420"/>
      </w:pPr>
      <w:r>
        <w:rPr>
          <w:rFonts w:hint="eastAsia"/>
        </w:rPr>
        <w:t>公共场所经营者提供给顾客重复使用的，且与皮肤、黏膜等直接接触的物品，包括但不限于床单、枕套、被套、毛巾、浴巾、浴衣、杯具、洁具、拖鞋、美容美发工具、修脚工具、3D电影眼镜等。</w:t>
      </w:r>
    </w:p>
    <w:p w14:paraId="344ACD39">
      <w:pPr>
        <w:pStyle w:val="223"/>
        <w:ind w:left="420" w:hanging="420" w:hangingChars="200"/>
        <w:rPr>
          <w:rFonts w:hint="eastAsia" w:ascii="黑体" w:hAnsi="黑体" w:eastAsia="黑体"/>
        </w:rPr>
      </w:pPr>
      <w:r>
        <w:rPr>
          <w:rFonts w:ascii="黑体" w:hAnsi="黑体" w:eastAsia="黑体"/>
        </w:rPr>
        <w:br w:type="textWrapping"/>
      </w:r>
      <w:bookmarkStart w:id="49" w:name="_GoBack"/>
      <w:r>
        <w:rPr>
          <w:rFonts w:hint="eastAsia" w:ascii="黑体" w:hAnsi="黑体" w:eastAsia="黑体"/>
        </w:rPr>
        <w:t>高频接触物体表面</w:t>
      </w:r>
      <w:bookmarkEnd w:id="49"/>
      <w:r>
        <w:rPr>
          <w:rFonts w:hint="eastAsia" w:ascii="黑体" w:hAnsi="黑体" w:eastAsia="黑体"/>
        </w:rPr>
        <w:t xml:space="preserve">  frequently touched surfaces</w:t>
      </w:r>
    </w:p>
    <w:p w14:paraId="4ECE3A1D">
      <w:pPr>
        <w:pStyle w:val="56"/>
        <w:ind w:firstLine="420"/>
      </w:pPr>
      <w:r>
        <w:rPr>
          <w:rFonts w:hint="eastAsia"/>
        </w:rPr>
        <w:t>公共场所环境中，被众多人员频繁用手或身体其他部位直接接触，易成为微生物存留和传播的载体，需优先清洁消毒的物体表面，如公共场所电梯按钮、自助和人工收银台、公共卫生间门把手和马桶按钮、房卡、购物车（筐）、以及候车室座椅扶手和自动售票机器按键。</w:t>
      </w:r>
    </w:p>
    <w:p w14:paraId="75E8F5E6">
      <w:pPr>
        <w:pStyle w:val="56"/>
        <w:ind w:firstLine="420"/>
      </w:pPr>
      <w:r>
        <w:rPr>
          <w:rFonts w:hint="eastAsia"/>
        </w:rPr>
        <w:t>[来源：整合WS/T 512—2016，3.5 和WS/T 776—2021，5.2.5 ]</w:t>
      </w:r>
    </w:p>
    <w:p w14:paraId="575E12FF">
      <w:pPr>
        <w:pStyle w:val="104"/>
        <w:spacing w:before="312" w:after="312"/>
      </w:pPr>
      <w:r>
        <w:rPr>
          <w:rFonts w:hint="eastAsia"/>
        </w:rPr>
        <w:t>卫生要求</w:t>
      </w:r>
    </w:p>
    <w:p w14:paraId="3BB04C11">
      <w:pPr>
        <w:pStyle w:val="105"/>
        <w:spacing w:before="156" w:after="156"/>
      </w:pPr>
      <w:r>
        <w:rPr>
          <w:rFonts w:hint="eastAsia"/>
        </w:rPr>
        <w:t>物理因素</w:t>
      </w:r>
    </w:p>
    <w:p w14:paraId="2E49B8F9">
      <w:pPr>
        <w:pStyle w:val="65"/>
        <w:spacing w:before="156" w:after="156"/>
      </w:pPr>
      <w:r>
        <w:rPr>
          <w:rFonts w:hint="eastAsia"/>
        </w:rPr>
        <w:t>室内温度</w:t>
      </w:r>
    </w:p>
    <w:p w14:paraId="5A28C2DE">
      <w:pPr>
        <w:pStyle w:val="56"/>
        <w:ind w:firstLine="420"/>
      </w:pPr>
      <w:r>
        <w:rPr>
          <w:rFonts w:hint="eastAsia"/>
        </w:rPr>
        <w:t>参考附录A要求执行。</w:t>
      </w:r>
    </w:p>
    <w:p w14:paraId="310EAE0D">
      <w:pPr>
        <w:pStyle w:val="65"/>
        <w:spacing w:before="156" w:after="156"/>
      </w:pPr>
      <w:r>
        <w:rPr>
          <w:rFonts w:hint="eastAsia"/>
        </w:rPr>
        <w:t>相对湿度</w:t>
      </w:r>
    </w:p>
    <w:p w14:paraId="74DB1871">
      <w:pPr>
        <w:pStyle w:val="56"/>
        <w:ind w:firstLine="420"/>
      </w:pPr>
      <w:r>
        <w:rPr>
          <w:rFonts w:hint="eastAsia"/>
        </w:rPr>
        <w:t>参考附录A要求执行。</w:t>
      </w:r>
    </w:p>
    <w:p w14:paraId="78777D2E">
      <w:pPr>
        <w:pStyle w:val="65"/>
        <w:spacing w:before="156" w:after="156"/>
      </w:pPr>
      <w:r>
        <w:rPr>
          <w:rFonts w:hint="eastAsia"/>
        </w:rPr>
        <w:t>风速</w:t>
      </w:r>
    </w:p>
    <w:p w14:paraId="63F78770">
      <w:pPr>
        <w:pStyle w:val="56"/>
        <w:ind w:firstLine="420"/>
      </w:pPr>
      <w:r>
        <w:rPr>
          <w:rFonts w:hint="eastAsia"/>
        </w:rPr>
        <w:t>参考附录A要求执行。</w:t>
      </w:r>
    </w:p>
    <w:p w14:paraId="5F6CB7D1">
      <w:pPr>
        <w:pStyle w:val="65"/>
        <w:spacing w:before="156" w:after="156"/>
      </w:pPr>
      <w:r>
        <w:rPr>
          <w:rFonts w:hint="eastAsia"/>
        </w:rPr>
        <w:t>采光照明</w:t>
      </w:r>
    </w:p>
    <w:p w14:paraId="212E6DBB">
      <w:pPr>
        <w:pStyle w:val="56"/>
        <w:ind w:firstLine="420"/>
      </w:pPr>
      <w:r>
        <w:rPr>
          <w:rFonts w:hint="eastAsia"/>
        </w:rPr>
        <w:t>公共场所充分利用自然采光，采光照明按照附录A要求执行。</w:t>
      </w:r>
    </w:p>
    <w:p w14:paraId="0D392848">
      <w:pPr>
        <w:pStyle w:val="56"/>
        <w:ind w:firstLine="420"/>
      </w:pPr>
      <w:r>
        <w:rPr>
          <w:rFonts w:hint="eastAsia"/>
        </w:rPr>
        <w:t>游泳场（馆）游泳池区域的水面水平照度不应低于200 lx，理发店、美容店工作面照度不应低于150 lx，其他有阅读需求的公共场所照度不应低于100 lx。</w:t>
      </w:r>
    </w:p>
    <w:p w14:paraId="550E9AA8">
      <w:pPr>
        <w:pStyle w:val="56"/>
        <w:ind w:firstLine="420"/>
      </w:pPr>
      <w:r>
        <w:rPr>
          <w:rFonts w:hint="eastAsia"/>
        </w:rPr>
        <w:t>公共场所是地下空间的，其采光照明应符合GB/T 17216的要求。</w:t>
      </w:r>
    </w:p>
    <w:p w14:paraId="4C2E57D7">
      <w:pPr>
        <w:pStyle w:val="65"/>
        <w:spacing w:before="156" w:after="156"/>
      </w:pPr>
      <w:r>
        <w:rPr>
          <w:rFonts w:hint="eastAsia"/>
        </w:rPr>
        <w:t>噪声</w:t>
      </w:r>
    </w:p>
    <w:p w14:paraId="2DEAFBE7">
      <w:pPr>
        <w:pStyle w:val="164"/>
      </w:pPr>
      <w:r>
        <w:rPr>
          <w:rFonts w:hint="eastAsia"/>
        </w:rPr>
        <w:t>对有睡眠、休憩需求的公共场所，环境噪声不应大于45 dB(A计权)，且空调、排风设施、电梯等运行所产生的噪声对场所环境造成的影响不应高于设备设施关闭状态时环境噪声值5 dB(A计权)。</w:t>
      </w:r>
    </w:p>
    <w:p w14:paraId="5923AE26">
      <w:pPr>
        <w:pStyle w:val="164"/>
      </w:pPr>
      <w:r>
        <w:rPr>
          <w:rFonts w:hint="eastAsia"/>
        </w:rPr>
        <w:t>候诊室、候车(机、船)室及公共交通工具客舱环境噪声应小于70 dB(A计权)；影剧院、录像厅(室)、游艺厅、舞厅、音乐厅等娱乐场所及轨道交通站台环境噪声应小于85 dB(A计权)；其他场所的环境噪声应小于55 dB(A计权)。</w:t>
      </w:r>
    </w:p>
    <w:p w14:paraId="1F327C6F">
      <w:pPr>
        <w:pStyle w:val="105"/>
        <w:spacing w:before="156" w:after="156"/>
      </w:pPr>
      <w:r>
        <w:rPr>
          <w:rFonts w:hint="eastAsia"/>
        </w:rPr>
        <w:t>室内空气质量</w:t>
      </w:r>
    </w:p>
    <w:p w14:paraId="09E8DE04">
      <w:pPr>
        <w:pStyle w:val="65"/>
        <w:spacing w:before="156" w:after="156"/>
      </w:pPr>
      <w:r>
        <w:rPr>
          <w:rFonts w:hint="eastAsia"/>
        </w:rPr>
        <w:t>新风量</w:t>
      </w:r>
    </w:p>
    <w:p w14:paraId="56499236">
      <w:pPr>
        <w:pStyle w:val="56"/>
        <w:ind w:firstLine="420"/>
      </w:pPr>
      <w:r>
        <w:rPr>
          <w:rFonts w:hint="eastAsia"/>
        </w:rPr>
        <w:t>宾馆、旅店、招待所等住宿场所，室内新风量不应小于30 m</w:t>
      </w:r>
      <w:r>
        <w:rPr>
          <w:rFonts w:hint="eastAsia"/>
          <w:vertAlign w:val="superscript"/>
        </w:rPr>
        <w:t>3</w:t>
      </w:r>
      <w:r>
        <w:rPr>
          <w:rFonts w:hint="eastAsia"/>
        </w:rPr>
        <w:t>/（h •人）；其他场所室内新风量不应小于20 m</w:t>
      </w:r>
      <w:r>
        <w:rPr>
          <w:rFonts w:hint="eastAsia"/>
          <w:vertAlign w:val="superscript"/>
        </w:rPr>
        <w:t>3</w:t>
      </w:r>
      <w:r>
        <w:rPr>
          <w:rFonts w:hint="eastAsia"/>
        </w:rPr>
        <w:t>/（h •人）。</w:t>
      </w:r>
    </w:p>
    <w:p w14:paraId="6EAE0E91">
      <w:pPr>
        <w:pStyle w:val="65"/>
        <w:spacing w:before="156" w:after="156"/>
      </w:pPr>
      <w:r>
        <w:rPr>
          <w:rFonts w:hint="eastAsia"/>
        </w:rPr>
        <w:t>二氧化碳</w:t>
      </w:r>
    </w:p>
    <w:p w14:paraId="66BB6787">
      <w:pPr>
        <w:pStyle w:val="56"/>
        <w:ind w:firstLine="420"/>
      </w:pPr>
      <w:r>
        <w:rPr>
          <w:rFonts w:hint="eastAsia"/>
        </w:rPr>
        <w:t>宾馆、旅店、招待所等住宿场所，室内二氧化碳浓度不应大于0.10％；其他场所室内二氧化碳浓度不应大于0.15％。</w:t>
      </w:r>
    </w:p>
    <w:p w14:paraId="4BB6F7F3">
      <w:pPr>
        <w:pStyle w:val="65"/>
        <w:spacing w:before="156" w:after="156"/>
      </w:pPr>
      <w:r>
        <w:rPr>
          <w:rFonts w:hint="eastAsia"/>
        </w:rPr>
        <w:t>细菌总数</w:t>
      </w:r>
    </w:p>
    <w:p w14:paraId="017CA0D5">
      <w:pPr>
        <w:pStyle w:val="56"/>
        <w:ind w:firstLine="420"/>
      </w:pPr>
      <w:r>
        <w:rPr>
          <w:rFonts w:hint="eastAsia"/>
        </w:rPr>
        <w:t>宾馆、旅店、招待所等住宿场所，室内空气细菌总数不应大于1 500 CFU/m</w:t>
      </w:r>
      <w:r>
        <w:rPr>
          <w:rFonts w:hint="eastAsia"/>
          <w:vertAlign w:val="superscript"/>
        </w:rPr>
        <w:t>3</w:t>
      </w:r>
      <w:r>
        <w:rPr>
          <w:rFonts w:hint="eastAsia"/>
        </w:rPr>
        <w:t>或20 CFU/皿；其他场所室内空气细菌总数不应大于4 000 CFU/m</w:t>
      </w:r>
      <w:r>
        <w:rPr>
          <w:rFonts w:hint="eastAsia"/>
          <w:vertAlign w:val="superscript"/>
        </w:rPr>
        <w:t>3</w:t>
      </w:r>
      <w:r>
        <w:rPr>
          <w:rFonts w:hint="eastAsia"/>
        </w:rPr>
        <w:t>或40 CFU/皿。</w:t>
      </w:r>
    </w:p>
    <w:p w14:paraId="718AB348">
      <w:pPr>
        <w:pStyle w:val="179"/>
      </w:pPr>
      <w:r>
        <w:rPr>
          <w:rFonts w:hint="eastAsia"/>
        </w:rPr>
        <w:t>根据不同采样检验方法选取不同限值要求。</w:t>
      </w:r>
    </w:p>
    <w:p w14:paraId="720C92D6">
      <w:pPr>
        <w:pStyle w:val="65"/>
        <w:spacing w:before="156" w:after="156"/>
      </w:pPr>
      <w:r>
        <w:rPr>
          <w:rFonts w:hint="eastAsia"/>
        </w:rPr>
        <w:t>真菌总数</w:t>
      </w:r>
    </w:p>
    <w:p w14:paraId="18773F0F">
      <w:pPr>
        <w:pStyle w:val="56"/>
        <w:ind w:firstLine="420"/>
      </w:pPr>
      <w:r>
        <w:rPr>
          <w:rFonts w:hint="eastAsia"/>
        </w:rPr>
        <w:t>宾馆、旅店、招待所等住宿场所，室内空气真菌总数不应大于1 500 CFU/m</w:t>
      </w:r>
      <w:r>
        <w:rPr>
          <w:rFonts w:hint="eastAsia"/>
          <w:vertAlign w:val="superscript"/>
        </w:rPr>
        <w:t>3</w:t>
      </w:r>
      <w:r>
        <w:rPr>
          <w:rFonts w:hint="eastAsia"/>
        </w:rPr>
        <w:t>。</w:t>
      </w:r>
    </w:p>
    <w:p w14:paraId="4D2345D2">
      <w:pPr>
        <w:pStyle w:val="65"/>
        <w:spacing w:before="156" w:after="156"/>
      </w:pPr>
      <w:r>
        <w:rPr>
          <w:rFonts w:hint="eastAsia"/>
        </w:rPr>
        <w:t>一氧化碳、可吸入颗粒物、细颗粒物</w:t>
      </w:r>
    </w:p>
    <w:p w14:paraId="310AD5C5">
      <w:pPr>
        <w:pStyle w:val="56"/>
        <w:ind w:firstLine="420"/>
      </w:pPr>
      <w:r>
        <w:rPr>
          <w:rFonts w:hint="eastAsia"/>
        </w:rPr>
        <w:t>公共场所室内空气中的一氧化碳、可吸入颗粒物（PM</w:t>
      </w:r>
      <w:r>
        <w:rPr>
          <w:rFonts w:hint="eastAsia"/>
          <w:vertAlign w:val="subscript"/>
        </w:rPr>
        <w:t>10</w:t>
      </w:r>
      <w:r>
        <w:rPr>
          <w:rFonts w:hint="eastAsia"/>
        </w:rPr>
        <w:t>）、细颗粒物（PM</w:t>
      </w:r>
      <w:r>
        <w:rPr>
          <w:rFonts w:hint="eastAsia"/>
          <w:vertAlign w:val="subscript"/>
        </w:rPr>
        <w:t>2.5</w:t>
      </w:r>
      <w:r>
        <w:rPr>
          <w:rFonts w:hint="eastAsia"/>
        </w:rPr>
        <w:t>）浓度应符合表1要求。</w:t>
      </w:r>
    </w:p>
    <w:p w14:paraId="4126EF7B">
      <w:pPr>
        <w:pStyle w:val="112"/>
        <w:spacing w:before="156" w:after="156"/>
      </w:pPr>
      <w:r>
        <w:rPr>
          <w:rFonts w:hint="eastAsia"/>
        </w:rPr>
        <w:t>公共场所室内空气中的一氧化碳、可吸入颗粒物、细颗粒物卫生要求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1AF5AC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left w:val="single" w:color="auto" w:sz="8" w:space="0"/>
              <w:bottom w:val="single" w:color="auto" w:sz="8" w:space="0"/>
              <w:right w:val="single" w:color="auto" w:sz="4" w:space="0"/>
            </w:tcBorders>
            <w:vAlign w:val="center"/>
          </w:tcPr>
          <w:p w14:paraId="10FE05CC">
            <w:pPr>
              <w:pStyle w:val="178"/>
            </w:pPr>
            <w:bookmarkStart w:id="42" w:name="_Hlk220336626"/>
            <w:r>
              <w:t>指标</w:t>
            </w:r>
          </w:p>
        </w:tc>
        <w:tc>
          <w:tcPr>
            <w:tcW w:w="4667" w:type="dxa"/>
            <w:tcBorders>
              <w:top w:val="single" w:color="auto" w:sz="8" w:space="0"/>
              <w:left w:val="single" w:color="auto" w:sz="4" w:space="0"/>
              <w:bottom w:val="single" w:color="auto" w:sz="8" w:space="0"/>
              <w:right w:val="single" w:color="auto" w:sz="8" w:space="0"/>
            </w:tcBorders>
            <w:vAlign w:val="center"/>
          </w:tcPr>
          <w:p w14:paraId="11CE359C">
            <w:pPr>
              <w:pStyle w:val="178"/>
            </w:pPr>
            <w:r>
              <w:t>要求</w:t>
            </w:r>
          </w:p>
        </w:tc>
      </w:tr>
      <w:tr w14:paraId="4C7F66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left w:val="single" w:color="auto" w:sz="8" w:space="0"/>
              <w:bottom w:val="single" w:color="auto" w:sz="4" w:space="0"/>
              <w:right w:val="single" w:color="auto" w:sz="4" w:space="0"/>
            </w:tcBorders>
            <w:vAlign w:val="center"/>
          </w:tcPr>
          <w:p w14:paraId="10D1C7C8">
            <w:pPr>
              <w:pStyle w:val="178"/>
            </w:pPr>
            <w:r>
              <w:t>一氧化碳/（mg/m</w:t>
            </w:r>
            <w:r>
              <w:rPr>
                <w:vertAlign w:val="superscript"/>
              </w:rPr>
              <w:t>3</w:t>
            </w:r>
            <w:r>
              <w:t>）</w:t>
            </w:r>
          </w:p>
        </w:tc>
        <w:tc>
          <w:tcPr>
            <w:tcW w:w="4667" w:type="dxa"/>
            <w:tcBorders>
              <w:top w:val="single" w:color="auto" w:sz="8" w:space="0"/>
              <w:left w:val="single" w:color="auto" w:sz="4" w:space="0"/>
              <w:bottom w:val="single" w:color="auto" w:sz="4" w:space="0"/>
              <w:right w:val="single" w:color="auto" w:sz="8" w:space="0"/>
            </w:tcBorders>
            <w:vAlign w:val="center"/>
          </w:tcPr>
          <w:p w14:paraId="2B00E5B9">
            <w:pPr>
              <w:pStyle w:val="178"/>
            </w:pPr>
            <w:r>
              <w:t>≤10</w:t>
            </w:r>
          </w:p>
        </w:tc>
      </w:tr>
      <w:tr w14:paraId="738AAC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4" w:space="0"/>
              <w:left w:val="single" w:color="auto" w:sz="8" w:space="0"/>
              <w:bottom w:val="single" w:color="auto" w:sz="4" w:space="0"/>
              <w:right w:val="single" w:color="auto" w:sz="4" w:space="0"/>
            </w:tcBorders>
            <w:vAlign w:val="center"/>
          </w:tcPr>
          <w:p w14:paraId="33CF26E2">
            <w:pPr>
              <w:pStyle w:val="178"/>
            </w:pPr>
            <w:r>
              <w:t>可吸入颗粒物</w:t>
            </w:r>
            <w:r>
              <w:rPr>
                <w:rFonts w:hint="eastAsia"/>
              </w:rPr>
              <w:t>（</w:t>
            </w:r>
            <w:r>
              <w:t>PM</w:t>
            </w:r>
            <w:r>
              <w:rPr>
                <w:vertAlign w:val="subscript"/>
              </w:rPr>
              <w:t>10</w:t>
            </w:r>
            <w:r>
              <w:rPr>
                <w:rFonts w:hint="eastAsia"/>
              </w:rPr>
              <w:t>）</w:t>
            </w:r>
            <w:r>
              <w:t>/（mg/m</w:t>
            </w:r>
            <w:r>
              <w:rPr>
                <w:vertAlign w:val="superscript"/>
              </w:rPr>
              <w:t>3</w:t>
            </w:r>
            <w:r>
              <w:t>）</w:t>
            </w:r>
          </w:p>
        </w:tc>
        <w:tc>
          <w:tcPr>
            <w:tcW w:w="4667" w:type="dxa"/>
            <w:tcBorders>
              <w:top w:val="single" w:color="auto" w:sz="4" w:space="0"/>
              <w:left w:val="single" w:color="auto" w:sz="4" w:space="0"/>
              <w:bottom w:val="single" w:color="auto" w:sz="4" w:space="0"/>
              <w:right w:val="single" w:color="auto" w:sz="8" w:space="0"/>
            </w:tcBorders>
            <w:vAlign w:val="center"/>
          </w:tcPr>
          <w:p w14:paraId="6BDCD422">
            <w:pPr>
              <w:pStyle w:val="178"/>
            </w:pPr>
            <w:r>
              <w:t>≤0.10</w:t>
            </w:r>
          </w:p>
        </w:tc>
      </w:tr>
      <w:tr w14:paraId="6D862E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4" w:space="0"/>
              <w:left w:val="single" w:color="auto" w:sz="8" w:space="0"/>
              <w:bottom w:val="single" w:color="auto" w:sz="8" w:space="0"/>
              <w:right w:val="single" w:color="auto" w:sz="4" w:space="0"/>
            </w:tcBorders>
            <w:vAlign w:val="center"/>
          </w:tcPr>
          <w:p w14:paraId="6712BBD0">
            <w:pPr>
              <w:pStyle w:val="178"/>
            </w:pPr>
            <w:bookmarkStart w:id="43" w:name="OLE_LINK38"/>
            <w:bookmarkStart w:id="44" w:name="OLE_LINK39"/>
            <w:r>
              <w:t>细颗粒物（PM</w:t>
            </w:r>
            <w:r>
              <w:rPr>
                <w:vertAlign w:val="subscript"/>
              </w:rPr>
              <w:t>2.5</w:t>
            </w:r>
            <w:r>
              <w:t>）/</w:t>
            </w:r>
            <w:bookmarkEnd w:id="43"/>
            <w:bookmarkEnd w:id="44"/>
            <w:r>
              <w:t>（mg/m</w:t>
            </w:r>
            <w:r>
              <w:rPr>
                <w:vertAlign w:val="superscript"/>
              </w:rPr>
              <w:t>3</w:t>
            </w:r>
            <w:r>
              <w:t>）</w:t>
            </w:r>
          </w:p>
        </w:tc>
        <w:tc>
          <w:tcPr>
            <w:tcW w:w="4667" w:type="dxa"/>
            <w:tcBorders>
              <w:top w:val="single" w:color="auto" w:sz="4" w:space="0"/>
              <w:left w:val="single" w:color="auto" w:sz="4" w:space="0"/>
              <w:bottom w:val="single" w:color="auto" w:sz="8" w:space="0"/>
              <w:right w:val="single" w:color="auto" w:sz="8" w:space="0"/>
            </w:tcBorders>
            <w:vAlign w:val="center"/>
          </w:tcPr>
          <w:p w14:paraId="5540E801">
            <w:pPr>
              <w:pStyle w:val="178"/>
            </w:pPr>
            <w:r>
              <w:t>≤0.05</w:t>
            </w:r>
          </w:p>
        </w:tc>
      </w:tr>
      <w:bookmarkEnd w:id="42"/>
    </w:tbl>
    <w:p w14:paraId="5B82E616">
      <w:pPr>
        <w:pStyle w:val="65"/>
        <w:spacing w:before="156" w:after="156"/>
      </w:pPr>
      <w:r>
        <w:rPr>
          <w:rFonts w:hint="eastAsia"/>
        </w:rPr>
        <w:t>甲醛、苯、甲苯、二甲苯、臭氧、总挥发性有机物和氡</w:t>
      </w:r>
    </w:p>
    <w:p w14:paraId="64B8D1DE">
      <w:pPr>
        <w:pStyle w:val="56"/>
        <w:ind w:firstLine="420"/>
      </w:pPr>
      <w:r>
        <w:rPr>
          <w:rFonts w:hint="eastAsia"/>
        </w:rPr>
        <w:t>公共场所室内空气中的甲醛、苯、甲苯、二甲苯、臭氧、总挥发性有机物（TVOC）和氡（</w:t>
      </w:r>
      <w:r>
        <w:rPr>
          <w:rFonts w:hint="eastAsia"/>
          <w:vertAlign w:val="superscript"/>
        </w:rPr>
        <w:t>222</w:t>
      </w:r>
      <w:r>
        <w:rPr>
          <w:rFonts w:hint="eastAsia"/>
        </w:rPr>
        <w:t>Rn）浓度应符合表2要求</w:t>
      </w:r>
    </w:p>
    <w:p w14:paraId="6F034667">
      <w:pPr>
        <w:pStyle w:val="112"/>
        <w:spacing w:before="156" w:after="156"/>
      </w:pPr>
      <w:r>
        <w:rPr>
          <w:rFonts w:hint="eastAsia"/>
        </w:rPr>
        <w:t>公共场所室内空气中甲醛、苯、甲苯、二甲苯、臭氧、总挥发性有机物和氡卫生要求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413986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left w:val="single" w:color="auto" w:sz="8" w:space="0"/>
              <w:bottom w:val="single" w:color="auto" w:sz="8" w:space="0"/>
              <w:right w:val="single" w:color="auto" w:sz="4" w:space="0"/>
            </w:tcBorders>
            <w:vAlign w:val="center"/>
          </w:tcPr>
          <w:p w14:paraId="01D41611">
            <w:pPr>
              <w:pStyle w:val="17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指标</w:t>
            </w:r>
          </w:p>
        </w:tc>
        <w:tc>
          <w:tcPr>
            <w:tcW w:w="4667" w:type="dxa"/>
            <w:tcBorders>
              <w:top w:val="single" w:color="auto" w:sz="8" w:space="0"/>
              <w:left w:val="single" w:color="auto" w:sz="4" w:space="0"/>
              <w:bottom w:val="single" w:color="auto" w:sz="8" w:space="0"/>
              <w:right w:val="single" w:color="auto" w:sz="8" w:space="0"/>
            </w:tcBorders>
            <w:vAlign w:val="center"/>
          </w:tcPr>
          <w:p w14:paraId="1026E949">
            <w:pPr>
              <w:pStyle w:val="178"/>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要求</w:t>
            </w:r>
          </w:p>
        </w:tc>
      </w:tr>
      <w:tr w14:paraId="5C993F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4" w:space="0"/>
              <w:left w:val="single" w:color="auto" w:sz="8" w:space="0"/>
              <w:bottom w:val="single" w:color="auto" w:sz="4" w:space="0"/>
              <w:right w:val="single" w:color="auto" w:sz="4" w:space="0"/>
            </w:tcBorders>
            <w:vAlign w:val="center"/>
          </w:tcPr>
          <w:p w14:paraId="33B94AEF">
            <w:pPr>
              <w:pStyle w:val="178"/>
            </w:pPr>
            <w:r>
              <w:t>甲醛/（mg/m</w:t>
            </w:r>
            <w:r>
              <w:rPr>
                <w:vertAlign w:val="superscript"/>
              </w:rPr>
              <w:t>3</w:t>
            </w:r>
            <w:r>
              <w:t>）</w:t>
            </w:r>
          </w:p>
        </w:tc>
        <w:tc>
          <w:tcPr>
            <w:tcW w:w="4667" w:type="dxa"/>
            <w:tcBorders>
              <w:top w:val="single" w:color="auto" w:sz="4" w:space="0"/>
              <w:left w:val="single" w:color="auto" w:sz="4" w:space="0"/>
              <w:bottom w:val="single" w:color="auto" w:sz="4" w:space="0"/>
              <w:right w:val="single" w:color="auto" w:sz="8" w:space="0"/>
            </w:tcBorders>
            <w:vAlign w:val="center"/>
          </w:tcPr>
          <w:p w14:paraId="63F8FAF7">
            <w:pPr>
              <w:pStyle w:val="178"/>
            </w:pPr>
            <w:r>
              <w:t>≤0.08</w:t>
            </w:r>
          </w:p>
        </w:tc>
      </w:tr>
      <w:tr w14:paraId="40B0BC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4" w:space="0"/>
              <w:left w:val="single" w:color="auto" w:sz="8" w:space="0"/>
              <w:bottom w:val="single" w:color="auto" w:sz="4" w:space="0"/>
              <w:right w:val="single" w:color="auto" w:sz="4" w:space="0"/>
            </w:tcBorders>
            <w:vAlign w:val="center"/>
          </w:tcPr>
          <w:p w14:paraId="1ED53F13">
            <w:pPr>
              <w:pStyle w:val="178"/>
            </w:pPr>
            <w:r>
              <w:t>苯/（mg/m</w:t>
            </w:r>
            <w:r>
              <w:rPr>
                <w:vertAlign w:val="superscript"/>
              </w:rPr>
              <w:t>3</w:t>
            </w:r>
            <w:r>
              <w:t>）</w:t>
            </w:r>
          </w:p>
        </w:tc>
        <w:tc>
          <w:tcPr>
            <w:tcW w:w="4667" w:type="dxa"/>
            <w:tcBorders>
              <w:top w:val="single" w:color="auto" w:sz="4" w:space="0"/>
              <w:left w:val="single" w:color="auto" w:sz="4" w:space="0"/>
              <w:bottom w:val="single" w:color="auto" w:sz="4" w:space="0"/>
              <w:right w:val="single" w:color="auto" w:sz="8" w:space="0"/>
            </w:tcBorders>
            <w:vAlign w:val="center"/>
          </w:tcPr>
          <w:p w14:paraId="1D56C7A3">
            <w:pPr>
              <w:pStyle w:val="178"/>
            </w:pPr>
            <w:r>
              <w:t>≤0.03</w:t>
            </w:r>
          </w:p>
        </w:tc>
      </w:tr>
      <w:tr w14:paraId="64BE77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4" w:space="0"/>
              <w:left w:val="single" w:color="auto" w:sz="8" w:space="0"/>
              <w:bottom w:val="single" w:color="auto" w:sz="4" w:space="0"/>
              <w:right w:val="single" w:color="auto" w:sz="4" w:space="0"/>
            </w:tcBorders>
            <w:vAlign w:val="center"/>
          </w:tcPr>
          <w:p w14:paraId="50204B7F">
            <w:pPr>
              <w:pStyle w:val="178"/>
            </w:pPr>
            <w:r>
              <w:t>甲苯/（mg/m</w:t>
            </w:r>
            <w:r>
              <w:rPr>
                <w:vertAlign w:val="superscript"/>
              </w:rPr>
              <w:t>3</w:t>
            </w:r>
            <w:r>
              <w:t>）</w:t>
            </w:r>
          </w:p>
        </w:tc>
        <w:tc>
          <w:tcPr>
            <w:tcW w:w="4667" w:type="dxa"/>
            <w:tcBorders>
              <w:top w:val="single" w:color="auto" w:sz="4" w:space="0"/>
              <w:left w:val="single" w:color="auto" w:sz="4" w:space="0"/>
              <w:bottom w:val="single" w:color="auto" w:sz="4" w:space="0"/>
              <w:right w:val="single" w:color="auto" w:sz="8" w:space="0"/>
            </w:tcBorders>
            <w:vAlign w:val="center"/>
          </w:tcPr>
          <w:p w14:paraId="18DB234D">
            <w:pPr>
              <w:pStyle w:val="178"/>
            </w:pPr>
            <w:r>
              <w:t>≤0.20</w:t>
            </w:r>
          </w:p>
        </w:tc>
      </w:tr>
      <w:tr w14:paraId="0D453A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4" w:space="0"/>
              <w:left w:val="single" w:color="auto" w:sz="8" w:space="0"/>
              <w:bottom w:val="single" w:color="auto" w:sz="4" w:space="0"/>
              <w:right w:val="single" w:color="auto" w:sz="4" w:space="0"/>
            </w:tcBorders>
            <w:vAlign w:val="center"/>
          </w:tcPr>
          <w:p w14:paraId="32A38146">
            <w:pPr>
              <w:pStyle w:val="178"/>
            </w:pPr>
            <w:r>
              <w:t>二甲苯/（mg/m</w:t>
            </w:r>
            <w:r>
              <w:rPr>
                <w:vertAlign w:val="superscript"/>
              </w:rPr>
              <w:t>3</w:t>
            </w:r>
            <w:r>
              <w:t>）</w:t>
            </w:r>
          </w:p>
        </w:tc>
        <w:tc>
          <w:tcPr>
            <w:tcW w:w="4667" w:type="dxa"/>
            <w:tcBorders>
              <w:top w:val="single" w:color="auto" w:sz="4" w:space="0"/>
              <w:left w:val="single" w:color="auto" w:sz="4" w:space="0"/>
              <w:bottom w:val="single" w:color="auto" w:sz="4" w:space="0"/>
              <w:right w:val="single" w:color="auto" w:sz="8" w:space="0"/>
            </w:tcBorders>
            <w:vAlign w:val="center"/>
          </w:tcPr>
          <w:p w14:paraId="266717C7">
            <w:pPr>
              <w:pStyle w:val="178"/>
            </w:pPr>
            <w:r>
              <w:t>≤0.20</w:t>
            </w:r>
          </w:p>
        </w:tc>
      </w:tr>
      <w:tr w14:paraId="53BD17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4" w:space="0"/>
              <w:left w:val="single" w:color="auto" w:sz="8" w:space="0"/>
              <w:bottom w:val="single" w:color="auto" w:sz="4" w:space="0"/>
              <w:right w:val="single" w:color="auto" w:sz="4" w:space="0"/>
            </w:tcBorders>
            <w:vAlign w:val="center"/>
          </w:tcPr>
          <w:p w14:paraId="00878CE8">
            <w:pPr>
              <w:pStyle w:val="178"/>
            </w:pPr>
            <w:r>
              <w:t>臭氧/（mg/m</w:t>
            </w:r>
            <w:r>
              <w:rPr>
                <w:vertAlign w:val="superscript"/>
              </w:rPr>
              <w:t>3</w:t>
            </w:r>
            <w:r>
              <w:t>）</w:t>
            </w:r>
          </w:p>
        </w:tc>
        <w:tc>
          <w:tcPr>
            <w:tcW w:w="4667" w:type="dxa"/>
            <w:tcBorders>
              <w:top w:val="single" w:color="auto" w:sz="4" w:space="0"/>
              <w:left w:val="single" w:color="auto" w:sz="4" w:space="0"/>
              <w:bottom w:val="single" w:color="auto" w:sz="4" w:space="0"/>
              <w:right w:val="single" w:color="auto" w:sz="8" w:space="0"/>
            </w:tcBorders>
            <w:vAlign w:val="center"/>
          </w:tcPr>
          <w:p w14:paraId="06E57F90">
            <w:pPr>
              <w:pStyle w:val="178"/>
            </w:pPr>
            <w:r>
              <w:t>≤0.16</w:t>
            </w:r>
          </w:p>
        </w:tc>
      </w:tr>
      <w:tr w14:paraId="5E3BCA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4" w:space="0"/>
              <w:left w:val="single" w:color="auto" w:sz="8" w:space="0"/>
              <w:bottom w:val="single" w:color="auto" w:sz="4" w:space="0"/>
              <w:right w:val="single" w:color="auto" w:sz="4" w:space="0"/>
            </w:tcBorders>
            <w:vAlign w:val="center"/>
          </w:tcPr>
          <w:p w14:paraId="43C8ADDD">
            <w:pPr>
              <w:pStyle w:val="178"/>
            </w:pPr>
            <w:r>
              <w:t>总挥发性有机物</w:t>
            </w:r>
            <w:r>
              <w:rPr>
                <w:rFonts w:hint="eastAsia"/>
              </w:rPr>
              <w:t>（</w:t>
            </w:r>
            <w:r>
              <w:t>TVOC</w:t>
            </w:r>
            <w:r>
              <w:rPr>
                <w:rFonts w:hint="eastAsia"/>
              </w:rPr>
              <w:t>）</w:t>
            </w:r>
            <w:r>
              <w:t>/（mg/m</w:t>
            </w:r>
            <w:r>
              <w:rPr>
                <w:vertAlign w:val="superscript"/>
              </w:rPr>
              <w:t>3</w:t>
            </w:r>
            <w:r>
              <w:t>）</w:t>
            </w:r>
          </w:p>
        </w:tc>
        <w:tc>
          <w:tcPr>
            <w:tcW w:w="4667" w:type="dxa"/>
            <w:tcBorders>
              <w:top w:val="single" w:color="auto" w:sz="4" w:space="0"/>
              <w:left w:val="single" w:color="auto" w:sz="4" w:space="0"/>
              <w:bottom w:val="single" w:color="auto" w:sz="4" w:space="0"/>
              <w:right w:val="single" w:color="auto" w:sz="8" w:space="0"/>
            </w:tcBorders>
            <w:vAlign w:val="center"/>
          </w:tcPr>
          <w:p w14:paraId="71B46882">
            <w:pPr>
              <w:pStyle w:val="178"/>
            </w:pPr>
            <w:r>
              <w:t>≤0.60</w:t>
            </w:r>
          </w:p>
        </w:tc>
      </w:tr>
      <w:tr w14:paraId="039D3C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4" w:space="0"/>
              <w:left w:val="single" w:color="auto" w:sz="8" w:space="0"/>
              <w:bottom w:val="single" w:color="auto" w:sz="8" w:space="0"/>
              <w:right w:val="single" w:color="auto" w:sz="4" w:space="0"/>
            </w:tcBorders>
            <w:vAlign w:val="center"/>
          </w:tcPr>
          <w:p w14:paraId="0F878821">
            <w:pPr>
              <w:pStyle w:val="178"/>
            </w:pPr>
            <w:r>
              <w:t>氡</w:t>
            </w:r>
            <w:r>
              <w:rPr>
                <w:rFonts w:hint="eastAsia"/>
              </w:rPr>
              <w:t>（</w:t>
            </w:r>
            <w:r>
              <w:rPr>
                <w:vertAlign w:val="superscript"/>
              </w:rPr>
              <w:t>222</w:t>
            </w:r>
            <w:r>
              <w:t>Rn</w:t>
            </w:r>
            <w:r>
              <w:rPr>
                <w:rFonts w:hint="eastAsia"/>
              </w:rPr>
              <w:t>）</w:t>
            </w:r>
            <w:r>
              <w:t>/（Bq/m</w:t>
            </w:r>
            <w:r>
              <w:rPr>
                <w:vertAlign w:val="superscript"/>
              </w:rPr>
              <w:t>3</w:t>
            </w:r>
            <w:r>
              <w:t>）</w:t>
            </w:r>
          </w:p>
        </w:tc>
        <w:tc>
          <w:tcPr>
            <w:tcW w:w="4667" w:type="dxa"/>
            <w:tcBorders>
              <w:top w:val="single" w:color="auto" w:sz="4" w:space="0"/>
              <w:left w:val="single" w:color="auto" w:sz="4" w:space="0"/>
              <w:bottom w:val="single" w:color="auto" w:sz="8" w:space="0"/>
              <w:right w:val="single" w:color="auto" w:sz="8" w:space="0"/>
            </w:tcBorders>
            <w:vAlign w:val="center"/>
          </w:tcPr>
          <w:p w14:paraId="1E1E499C">
            <w:pPr>
              <w:pStyle w:val="178"/>
            </w:pPr>
            <w:r>
              <w:t>≤</w:t>
            </w:r>
            <w:r>
              <w:rPr>
                <w:rFonts w:hint="eastAsia"/>
              </w:rPr>
              <w:t>4</w:t>
            </w:r>
            <w:r>
              <w:t>00</w:t>
            </w:r>
          </w:p>
        </w:tc>
      </w:tr>
    </w:tbl>
    <w:p w14:paraId="1399CBCB">
      <w:pPr>
        <w:pStyle w:val="65"/>
        <w:spacing w:before="156" w:after="156"/>
      </w:pPr>
      <w:r>
        <w:rPr>
          <w:rFonts w:hint="eastAsia"/>
        </w:rPr>
        <w:t>氨</w:t>
      </w:r>
    </w:p>
    <w:p w14:paraId="076E498E">
      <w:pPr>
        <w:pStyle w:val="56"/>
        <w:ind w:firstLine="420"/>
      </w:pPr>
      <w:r>
        <w:rPr>
          <w:rFonts w:hint="eastAsia"/>
        </w:rPr>
        <w:t>理发店、美容店室内空气中氨浓度不应大于0.50 mg/m</w:t>
      </w:r>
      <w:r>
        <w:rPr>
          <w:rFonts w:hint="eastAsia"/>
          <w:vertAlign w:val="superscript"/>
        </w:rPr>
        <w:t>3</w:t>
      </w:r>
      <w:r>
        <w:rPr>
          <w:rFonts w:hint="eastAsia"/>
        </w:rPr>
        <w:t>；其他场所室内空气中氨浓度不应大于0.20 mg/m</w:t>
      </w:r>
      <w:r>
        <w:rPr>
          <w:rFonts w:hint="eastAsia"/>
          <w:vertAlign w:val="superscript"/>
        </w:rPr>
        <w:t>3</w:t>
      </w:r>
      <w:r>
        <w:rPr>
          <w:rFonts w:hint="eastAsia"/>
        </w:rPr>
        <w:t>。</w:t>
      </w:r>
    </w:p>
    <w:p w14:paraId="5DB2D6AC">
      <w:pPr>
        <w:pStyle w:val="65"/>
        <w:spacing w:before="156" w:after="156"/>
      </w:pPr>
      <w:r>
        <w:rPr>
          <w:rFonts w:hint="eastAsia"/>
        </w:rPr>
        <w:t>硫化氢</w:t>
      </w:r>
    </w:p>
    <w:p w14:paraId="48277149">
      <w:pPr>
        <w:pStyle w:val="56"/>
        <w:ind w:firstLine="420"/>
      </w:pPr>
      <w:r>
        <w:rPr>
          <w:rFonts w:hint="eastAsia"/>
        </w:rPr>
        <w:t>使用硫磺泉的温泉场所，其室内空气中硫化氢浓度不应大于10 mg/m</w:t>
      </w:r>
      <w:r>
        <w:rPr>
          <w:rFonts w:hint="eastAsia"/>
          <w:vertAlign w:val="superscript"/>
        </w:rPr>
        <w:t>3</w:t>
      </w:r>
      <w:r>
        <w:rPr>
          <w:rFonts w:hint="eastAsia"/>
        </w:rPr>
        <w:t>。</w:t>
      </w:r>
    </w:p>
    <w:p w14:paraId="3AE2A435">
      <w:pPr>
        <w:pStyle w:val="65"/>
        <w:spacing w:before="156" w:after="156"/>
      </w:pPr>
      <w:r>
        <w:rPr>
          <w:rFonts w:hint="eastAsia"/>
        </w:rPr>
        <w:t>地下空间室内空气质量</w:t>
      </w:r>
    </w:p>
    <w:p w14:paraId="1AF12CCC">
      <w:pPr>
        <w:pStyle w:val="56"/>
        <w:ind w:firstLine="420"/>
      </w:pPr>
      <w:r>
        <w:rPr>
          <w:rFonts w:hint="eastAsia"/>
        </w:rPr>
        <w:t>除地铁站台、地铁车厢外，位于地下空间的公共场所，其室内空气质量应符合GB/T 17216的要求。</w:t>
      </w:r>
    </w:p>
    <w:p w14:paraId="536F3EB9">
      <w:pPr>
        <w:pStyle w:val="105"/>
        <w:spacing w:before="156" w:after="156"/>
      </w:pPr>
      <w:r>
        <w:rPr>
          <w:rFonts w:hint="eastAsia"/>
        </w:rPr>
        <w:t>生活饮用水</w:t>
      </w:r>
    </w:p>
    <w:p w14:paraId="25E41C50">
      <w:pPr>
        <w:pStyle w:val="56"/>
        <w:ind w:firstLine="420"/>
      </w:pPr>
      <w:r>
        <w:rPr>
          <w:rFonts w:hint="eastAsia"/>
        </w:rPr>
        <w:t>公共场所提供的生活饮用水应符合GB 5749的要求。</w:t>
      </w:r>
    </w:p>
    <w:p w14:paraId="46FF8BF0">
      <w:pPr>
        <w:pStyle w:val="105"/>
        <w:spacing w:before="156" w:after="156"/>
      </w:pPr>
      <w:r>
        <w:rPr>
          <w:rFonts w:hint="eastAsia"/>
        </w:rPr>
        <w:t>游泳池水、沐浴用水</w:t>
      </w:r>
    </w:p>
    <w:p w14:paraId="2A996035">
      <w:pPr>
        <w:pStyle w:val="65"/>
        <w:spacing w:before="156" w:after="156"/>
      </w:pPr>
      <w:r>
        <w:rPr>
          <w:rFonts w:hint="eastAsia"/>
        </w:rPr>
        <w:t>人工游泳池水</w:t>
      </w:r>
    </w:p>
    <w:p w14:paraId="2347BFA4">
      <w:pPr>
        <w:pStyle w:val="164"/>
      </w:pPr>
      <w:r>
        <w:rPr>
          <w:rFonts w:hint="eastAsia"/>
        </w:rPr>
        <w:t>人工游泳池水质指标应符合表3的要求，其原水及补充用水应符合GB 5749的要求。</w:t>
      </w:r>
    </w:p>
    <w:p w14:paraId="5826A594">
      <w:pPr>
        <w:pStyle w:val="112"/>
        <w:spacing w:before="156" w:after="156"/>
      </w:pPr>
      <w:r>
        <w:rPr>
          <w:rFonts w:hint="eastAsia"/>
        </w:rPr>
        <w:t>人工游泳池水质指标卫生要求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534"/>
        <w:gridCol w:w="2689"/>
        <w:gridCol w:w="3111"/>
      </w:tblGrid>
      <w:tr w14:paraId="553FB5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534" w:type="dxa"/>
            <w:tcBorders>
              <w:top w:val="single" w:color="auto" w:sz="8" w:space="0"/>
              <w:bottom w:val="single" w:color="auto" w:sz="8" w:space="0"/>
            </w:tcBorders>
            <w:vAlign w:val="center"/>
          </w:tcPr>
          <w:p w14:paraId="31A02545">
            <w:pPr>
              <w:pStyle w:val="178"/>
            </w:pPr>
            <w:r>
              <w:t>指标</w:t>
            </w:r>
          </w:p>
        </w:tc>
        <w:tc>
          <w:tcPr>
            <w:tcW w:w="2689" w:type="dxa"/>
            <w:tcBorders>
              <w:top w:val="single" w:color="auto" w:sz="8" w:space="0"/>
              <w:bottom w:val="single" w:color="auto" w:sz="8" w:space="0"/>
            </w:tcBorders>
            <w:vAlign w:val="center"/>
          </w:tcPr>
          <w:p w14:paraId="0B8CEB19">
            <w:pPr>
              <w:pStyle w:val="178"/>
            </w:pPr>
            <w:r>
              <w:t>要求</w:t>
            </w:r>
          </w:p>
        </w:tc>
        <w:tc>
          <w:tcPr>
            <w:tcW w:w="3111" w:type="dxa"/>
            <w:tcBorders>
              <w:top w:val="single" w:color="auto" w:sz="8" w:space="0"/>
              <w:bottom w:val="single" w:color="auto" w:sz="8" w:space="0"/>
            </w:tcBorders>
            <w:vAlign w:val="center"/>
          </w:tcPr>
          <w:p w14:paraId="09C38B20">
            <w:pPr>
              <w:pStyle w:val="178"/>
            </w:pPr>
            <w:r>
              <w:t>备注</w:t>
            </w:r>
          </w:p>
        </w:tc>
      </w:tr>
      <w:tr w14:paraId="37533C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534" w:type="dxa"/>
            <w:tcBorders>
              <w:top w:val="single" w:color="auto" w:sz="8" w:space="0"/>
            </w:tcBorders>
            <w:vAlign w:val="center"/>
          </w:tcPr>
          <w:p w14:paraId="73002E0F">
            <w:pPr>
              <w:pStyle w:val="178"/>
              <w:jc w:val="left"/>
            </w:pPr>
            <w:r>
              <w:t>浑浊度</w:t>
            </w:r>
            <w:r>
              <w:rPr>
                <w:rFonts w:hint="eastAsia"/>
              </w:rPr>
              <w:t>（</w:t>
            </w:r>
            <w:r>
              <w:t>散射浑浊度单位</w:t>
            </w:r>
            <w:r>
              <w:rPr>
                <w:rFonts w:hint="eastAsia"/>
              </w:rPr>
              <w:t>）</w:t>
            </w:r>
            <w:r>
              <w:t>/NTU</w:t>
            </w:r>
          </w:p>
        </w:tc>
        <w:tc>
          <w:tcPr>
            <w:tcW w:w="2689" w:type="dxa"/>
            <w:tcBorders>
              <w:top w:val="single" w:color="auto" w:sz="8" w:space="0"/>
            </w:tcBorders>
            <w:vAlign w:val="center"/>
          </w:tcPr>
          <w:p w14:paraId="37B1F61B">
            <w:pPr>
              <w:pStyle w:val="178"/>
            </w:pPr>
            <w:r>
              <w:t>≤0.5</w:t>
            </w:r>
          </w:p>
        </w:tc>
        <w:tc>
          <w:tcPr>
            <w:tcW w:w="3111" w:type="dxa"/>
            <w:tcBorders>
              <w:top w:val="single" w:color="auto" w:sz="8" w:space="0"/>
            </w:tcBorders>
            <w:vAlign w:val="center"/>
          </w:tcPr>
          <w:p w14:paraId="03A4D674">
            <w:pPr>
              <w:pStyle w:val="178"/>
            </w:pPr>
            <w:r>
              <w:t>—</w:t>
            </w:r>
          </w:p>
        </w:tc>
      </w:tr>
      <w:tr w14:paraId="229D65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534" w:type="dxa"/>
            <w:vAlign w:val="center"/>
          </w:tcPr>
          <w:p w14:paraId="0B6ED14A">
            <w:pPr>
              <w:pStyle w:val="178"/>
              <w:jc w:val="left"/>
            </w:pPr>
            <w:r>
              <w:t>pH</w:t>
            </w:r>
          </w:p>
        </w:tc>
        <w:tc>
          <w:tcPr>
            <w:tcW w:w="2689" w:type="dxa"/>
            <w:vAlign w:val="center"/>
          </w:tcPr>
          <w:p w14:paraId="56885A60">
            <w:pPr>
              <w:pStyle w:val="178"/>
            </w:pPr>
            <w:r>
              <w:t>7.2～7.8</w:t>
            </w:r>
          </w:p>
        </w:tc>
        <w:tc>
          <w:tcPr>
            <w:tcW w:w="3111" w:type="dxa"/>
            <w:vAlign w:val="center"/>
          </w:tcPr>
          <w:p w14:paraId="62C602C2">
            <w:pPr>
              <w:pStyle w:val="178"/>
            </w:pPr>
            <w:r>
              <w:t>—</w:t>
            </w:r>
          </w:p>
        </w:tc>
      </w:tr>
      <w:tr w14:paraId="50E576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534" w:type="dxa"/>
            <w:vAlign w:val="center"/>
          </w:tcPr>
          <w:p w14:paraId="230E198C">
            <w:pPr>
              <w:pStyle w:val="178"/>
              <w:jc w:val="left"/>
            </w:pPr>
            <w:r>
              <w:t>游离氯/（mg/L）</w:t>
            </w:r>
          </w:p>
        </w:tc>
        <w:tc>
          <w:tcPr>
            <w:tcW w:w="2689" w:type="dxa"/>
            <w:vAlign w:val="center"/>
          </w:tcPr>
          <w:p w14:paraId="5326FF51">
            <w:pPr>
              <w:pStyle w:val="178"/>
            </w:pPr>
            <w:r>
              <w:t>0.3～1.0</w:t>
            </w:r>
          </w:p>
        </w:tc>
        <w:tc>
          <w:tcPr>
            <w:tcW w:w="3111" w:type="dxa"/>
            <w:vAlign w:val="center"/>
          </w:tcPr>
          <w:p w14:paraId="25E8A3B6">
            <w:pPr>
              <w:pStyle w:val="178"/>
            </w:pPr>
            <w:r>
              <w:t>使用游离氯制剂消毒时要求</w:t>
            </w:r>
          </w:p>
        </w:tc>
      </w:tr>
      <w:tr w14:paraId="261E0F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534" w:type="dxa"/>
            <w:vAlign w:val="center"/>
          </w:tcPr>
          <w:p w14:paraId="7C301D5F">
            <w:pPr>
              <w:pStyle w:val="178"/>
              <w:jc w:val="left"/>
            </w:pPr>
            <w:r>
              <w:t>化合氯/（mg/L）</w:t>
            </w:r>
          </w:p>
        </w:tc>
        <w:tc>
          <w:tcPr>
            <w:tcW w:w="2689" w:type="dxa"/>
            <w:vAlign w:val="center"/>
          </w:tcPr>
          <w:p w14:paraId="6C0A7205">
            <w:pPr>
              <w:pStyle w:val="178"/>
            </w:pPr>
            <w:r>
              <w:t>≤0.4</w:t>
            </w:r>
          </w:p>
        </w:tc>
        <w:tc>
          <w:tcPr>
            <w:tcW w:w="3111" w:type="dxa"/>
            <w:vAlign w:val="center"/>
          </w:tcPr>
          <w:p w14:paraId="231B80D7">
            <w:pPr>
              <w:pStyle w:val="178"/>
            </w:pPr>
            <w:r>
              <w:t>使用游离氯制剂消毒时要求</w:t>
            </w:r>
          </w:p>
        </w:tc>
      </w:tr>
      <w:tr w14:paraId="7CB800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534" w:type="dxa"/>
            <w:vAlign w:val="center"/>
          </w:tcPr>
          <w:p w14:paraId="77186666">
            <w:pPr>
              <w:pStyle w:val="178"/>
              <w:jc w:val="left"/>
            </w:pPr>
            <w:r>
              <w:t>浸脚池游离氯/（mg/L）</w:t>
            </w:r>
          </w:p>
        </w:tc>
        <w:tc>
          <w:tcPr>
            <w:tcW w:w="2689" w:type="dxa"/>
            <w:vAlign w:val="center"/>
          </w:tcPr>
          <w:p w14:paraId="6F0291ED">
            <w:pPr>
              <w:pStyle w:val="178"/>
            </w:pPr>
            <w:r>
              <w:t>5～10</w:t>
            </w:r>
          </w:p>
        </w:tc>
        <w:tc>
          <w:tcPr>
            <w:tcW w:w="3111" w:type="dxa"/>
            <w:vAlign w:val="center"/>
          </w:tcPr>
          <w:p w14:paraId="5703761F">
            <w:pPr>
              <w:pStyle w:val="178"/>
            </w:pPr>
            <w:r>
              <w:t>—</w:t>
            </w:r>
          </w:p>
        </w:tc>
      </w:tr>
      <w:tr w14:paraId="463582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534" w:type="dxa"/>
            <w:vAlign w:val="center"/>
          </w:tcPr>
          <w:p w14:paraId="20E0B8FA">
            <w:pPr>
              <w:pStyle w:val="178"/>
              <w:jc w:val="left"/>
            </w:pPr>
            <w:r>
              <w:t>臭氧/（mg/m</w:t>
            </w:r>
            <w:r>
              <w:rPr>
                <w:vertAlign w:val="superscript"/>
              </w:rPr>
              <w:t>3</w:t>
            </w:r>
            <w:r>
              <w:t>）</w:t>
            </w:r>
          </w:p>
        </w:tc>
        <w:tc>
          <w:tcPr>
            <w:tcW w:w="2689" w:type="dxa"/>
            <w:vAlign w:val="center"/>
          </w:tcPr>
          <w:p w14:paraId="0F13E1EB">
            <w:pPr>
              <w:pStyle w:val="178"/>
            </w:pPr>
            <w:r>
              <w:t>≤0.2</w:t>
            </w:r>
          </w:p>
        </w:tc>
        <w:tc>
          <w:tcPr>
            <w:tcW w:w="3111" w:type="dxa"/>
            <w:vAlign w:val="center"/>
          </w:tcPr>
          <w:p w14:paraId="58022E86">
            <w:pPr>
              <w:pStyle w:val="178"/>
            </w:pPr>
            <w:r>
              <w:t>使用臭氧消毒时要求，水面上方20 cm空气中浓度</w:t>
            </w:r>
          </w:p>
        </w:tc>
      </w:tr>
      <w:tr w14:paraId="335EB8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534" w:type="dxa"/>
            <w:vAlign w:val="center"/>
          </w:tcPr>
          <w:p w14:paraId="0B7526D3">
            <w:pPr>
              <w:pStyle w:val="178"/>
              <w:jc w:val="left"/>
            </w:pPr>
            <w:r>
              <w:t>氧化还原电位（ORP）/mV</w:t>
            </w:r>
          </w:p>
        </w:tc>
        <w:tc>
          <w:tcPr>
            <w:tcW w:w="2689" w:type="dxa"/>
            <w:vAlign w:val="center"/>
          </w:tcPr>
          <w:p w14:paraId="4C277662">
            <w:pPr>
              <w:pStyle w:val="178"/>
            </w:pPr>
            <w:r>
              <w:t>≥650</w:t>
            </w:r>
          </w:p>
        </w:tc>
        <w:tc>
          <w:tcPr>
            <w:tcW w:w="3111" w:type="dxa"/>
            <w:vAlign w:val="center"/>
          </w:tcPr>
          <w:p w14:paraId="74DEDC93">
            <w:pPr>
              <w:pStyle w:val="178"/>
            </w:pPr>
            <w:r>
              <w:t>采用氯</w:t>
            </w:r>
            <w:r>
              <w:rPr>
                <w:rFonts w:hint="eastAsia"/>
              </w:rPr>
              <w:t>或</w:t>
            </w:r>
            <w:r>
              <w:t>臭氧消毒时要求</w:t>
            </w:r>
          </w:p>
        </w:tc>
      </w:tr>
      <w:tr w14:paraId="73235A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534" w:type="dxa"/>
            <w:vAlign w:val="center"/>
          </w:tcPr>
          <w:p w14:paraId="115CAF1F">
            <w:pPr>
              <w:pStyle w:val="178"/>
              <w:jc w:val="left"/>
            </w:pPr>
            <w:r>
              <w:t>氰尿酸/（mg/L）</w:t>
            </w:r>
          </w:p>
        </w:tc>
        <w:tc>
          <w:tcPr>
            <w:tcW w:w="2689" w:type="dxa"/>
            <w:vAlign w:val="center"/>
          </w:tcPr>
          <w:p w14:paraId="7E70260D">
            <w:pPr>
              <w:pStyle w:val="178"/>
            </w:pPr>
            <w:r>
              <w:t>＜30（室内池）</w:t>
            </w:r>
          </w:p>
          <w:p w14:paraId="5EE21E50">
            <w:pPr>
              <w:pStyle w:val="178"/>
            </w:pPr>
            <w:r>
              <w:t>＜100（室外池</w:t>
            </w:r>
            <w:r>
              <w:rPr>
                <w:rFonts w:hint="eastAsia"/>
              </w:rPr>
              <w:t>或</w:t>
            </w:r>
            <w:r>
              <w:t>紫外</w:t>
            </w:r>
            <w:r>
              <w:rPr>
                <w:rFonts w:hint="eastAsia"/>
              </w:rPr>
              <w:t>线</w:t>
            </w:r>
            <w:r>
              <w:t>消毒）</w:t>
            </w:r>
          </w:p>
        </w:tc>
        <w:tc>
          <w:tcPr>
            <w:tcW w:w="3111" w:type="dxa"/>
            <w:vAlign w:val="center"/>
          </w:tcPr>
          <w:p w14:paraId="5FD02AA6">
            <w:pPr>
              <w:pStyle w:val="178"/>
            </w:pPr>
            <w:r>
              <w:t>使用含氰尿酸的氯化合物</w:t>
            </w:r>
          </w:p>
          <w:p w14:paraId="6357F5B2">
            <w:pPr>
              <w:pStyle w:val="178"/>
            </w:pPr>
            <w:r>
              <w:t>消毒时</w:t>
            </w:r>
          </w:p>
        </w:tc>
      </w:tr>
      <w:tr w14:paraId="405B3E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534" w:type="dxa"/>
            <w:vAlign w:val="center"/>
          </w:tcPr>
          <w:p w14:paraId="0875ED45">
            <w:pPr>
              <w:pStyle w:val="178"/>
              <w:jc w:val="left"/>
            </w:pPr>
            <w:r>
              <w:t>尿素/（mg/L）</w:t>
            </w:r>
          </w:p>
        </w:tc>
        <w:tc>
          <w:tcPr>
            <w:tcW w:w="2689" w:type="dxa"/>
            <w:vAlign w:val="center"/>
          </w:tcPr>
          <w:p w14:paraId="02A0ABFC">
            <w:pPr>
              <w:pStyle w:val="178"/>
            </w:pPr>
            <w:r>
              <w:t>≤3.5</w:t>
            </w:r>
          </w:p>
        </w:tc>
        <w:tc>
          <w:tcPr>
            <w:tcW w:w="3111" w:type="dxa"/>
            <w:vAlign w:val="center"/>
          </w:tcPr>
          <w:p w14:paraId="1E583A71">
            <w:pPr>
              <w:pStyle w:val="178"/>
            </w:pPr>
            <w:r>
              <w:t>—</w:t>
            </w:r>
          </w:p>
        </w:tc>
      </w:tr>
      <w:tr w14:paraId="41FC82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534" w:type="dxa"/>
            <w:vAlign w:val="center"/>
          </w:tcPr>
          <w:p w14:paraId="16408351">
            <w:pPr>
              <w:pStyle w:val="178"/>
              <w:jc w:val="left"/>
            </w:pPr>
            <w:r>
              <w:t>菌落总数/（CFU/mL）</w:t>
            </w:r>
          </w:p>
        </w:tc>
        <w:tc>
          <w:tcPr>
            <w:tcW w:w="2689" w:type="dxa"/>
            <w:vAlign w:val="center"/>
          </w:tcPr>
          <w:p w14:paraId="4E51F7A4">
            <w:pPr>
              <w:pStyle w:val="178"/>
            </w:pPr>
            <w:r>
              <w:t>≤100</w:t>
            </w:r>
          </w:p>
        </w:tc>
        <w:tc>
          <w:tcPr>
            <w:tcW w:w="3111" w:type="dxa"/>
            <w:vAlign w:val="center"/>
          </w:tcPr>
          <w:p w14:paraId="41BFEDF8">
            <w:pPr>
              <w:pStyle w:val="178"/>
            </w:pPr>
            <w:r>
              <w:t>—</w:t>
            </w:r>
          </w:p>
        </w:tc>
      </w:tr>
      <w:tr w14:paraId="4F9B9F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534" w:type="dxa"/>
            <w:vAlign w:val="center"/>
          </w:tcPr>
          <w:p w14:paraId="03E5784E">
            <w:pPr>
              <w:pStyle w:val="178"/>
              <w:jc w:val="left"/>
            </w:pPr>
            <w:r>
              <w:t>总大肠菌群/（CFU/100 mL或MPN/100 mL）</w:t>
            </w:r>
          </w:p>
        </w:tc>
        <w:tc>
          <w:tcPr>
            <w:tcW w:w="2689" w:type="dxa"/>
            <w:vAlign w:val="center"/>
          </w:tcPr>
          <w:p w14:paraId="17375A35">
            <w:pPr>
              <w:pStyle w:val="178"/>
            </w:pPr>
            <w:r>
              <w:t>不得检出</w:t>
            </w:r>
          </w:p>
        </w:tc>
        <w:tc>
          <w:tcPr>
            <w:tcW w:w="3111" w:type="dxa"/>
            <w:vAlign w:val="center"/>
          </w:tcPr>
          <w:p w14:paraId="50BB60DF">
            <w:pPr>
              <w:pStyle w:val="178"/>
            </w:pPr>
            <w:r>
              <w:t>—</w:t>
            </w:r>
          </w:p>
        </w:tc>
      </w:tr>
      <w:tr w14:paraId="433984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534" w:type="dxa"/>
            <w:vAlign w:val="center"/>
          </w:tcPr>
          <w:p w14:paraId="3CD1A236">
            <w:pPr>
              <w:pStyle w:val="178"/>
              <w:jc w:val="left"/>
            </w:pPr>
            <w:r>
              <w:t>三卤甲烷（THMs）/（μg/L）</w:t>
            </w:r>
          </w:p>
        </w:tc>
        <w:tc>
          <w:tcPr>
            <w:tcW w:w="2689" w:type="dxa"/>
            <w:vAlign w:val="center"/>
          </w:tcPr>
          <w:p w14:paraId="05FEDD0A">
            <w:pPr>
              <w:pStyle w:val="178"/>
            </w:pPr>
            <w:r>
              <w:t>≤</w:t>
            </w:r>
            <w:r>
              <w:rPr>
                <w:rFonts w:hint="eastAsia"/>
              </w:rPr>
              <w:t>2</w:t>
            </w:r>
            <w:r>
              <w:t>00</w:t>
            </w:r>
          </w:p>
        </w:tc>
        <w:tc>
          <w:tcPr>
            <w:tcW w:w="3111" w:type="dxa"/>
            <w:vAlign w:val="center"/>
          </w:tcPr>
          <w:p w14:paraId="7565E83A">
            <w:pPr>
              <w:pStyle w:val="178"/>
            </w:pPr>
            <w:r>
              <w:t>—</w:t>
            </w:r>
          </w:p>
        </w:tc>
      </w:tr>
      <w:tr w14:paraId="225E60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534" w:type="dxa"/>
            <w:vAlign w:val="center"/>
          </w:tcPr>
          <w:p w14:paraId="414C4E04">
            <w:pPr>
              <w:pStyle w:val="178"/>
              <w:jc w:val="left"/>
            </w:pPr>
            <w:r>
              <w:t>其他毒理指标</w:t>
            </w:r>
          </w:p>
        </w:tc>
        <w:tc>
          <w:tcPr>
            <w:tcW w:w="2689" w:type="dxa"/>
            <w:vAlign w:val="center"/>
          </w:tcPr>
          <w:p w14:paraId="1D1B81B8">
            <w:pPr>
              <w:pStyle w:val="178"/>
            </w:pPr>
            <w:r>
              <w:t>按GB 5749执行</w:t>
            </w:r>
          </w:p>
        </w:tc>
        <w:tc>
          <w:tcPr>
            <w:tcW w:w="3111" w:type="dxa"/>
            <w:vAlign w:val="center"/>
          </w:tcPr>
          <w:p w14:paraId="1CBC6985">
            <w:pPr>
              <w:pStyle w:val="178"/>
            </w:pPr>
            <w:r>
              <w:t>根据水质情况选择</w:t>
            </w:r>
          </w:p>
        </w:tc>
      </w:tr>
    </w:tbl>
    <w:p w14:paraId="45A1062D">
      <w:pPr>
        <w:pStyle w:val="164"/>
        <w:spacing w:before="240"/>
      </w:pPr>
      <w:r>
        <w:rPr>
          <w:rFonts w:hint="eastAsia"/>
        </w:rPr>
        <w:t>人工游泳池水的温度参考附录A要求执行。</w:t>
      </w:r>
    </w:p>
    <w:p w14:paraId="598D03A0">
      <w:pPr>
        <w:pStyle w:val="65"/>
        <w:spacing w:before="156" w:after="156"/>
      </w:pPr>
      <w:r>
        <w:rPr>
          <w:rFonts w:hint="eastAsia"/>
        </w:rPr>
        <w:t>天然游泳池</w:t>
      </w:r>
    </w:p>
    <w:p w14:paraId="2DEBE5C0">
      <w:pPr>
        <w:pStyle w:val="56"/>
        <w:ind w:firstLine="420"/>
      </w:pPr>
      <w:r>
        <w:rPr>
          <w:rFonts w:hint="eastAsia"/>
        </w:rPr>
        <w:t>天然游泳池水质指标应符合表4的要求。</w:t>
      </w:r>
    </w:p>
    <w:p w14:paraId="4F61B7B9">
      <w:pPr>
        <w:pStyle w:val="112"/>
        <w:spacing w:before="156" w:after="156"/>
      </w:pPr>
      <w:r>
        <w:rPr>
          <w:rFonts w:hint="eastAsia"/>
        </w:rPr>
        <w:t>天然游泳池水质指标卫生要求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7778EA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vAlign w:val="center"/>
          </w:tcPr>
          <w:p w14:paraId="127E8DF4">
            <w:pPr>
              <w:pStyle w:val="178"/>
            </w:pPr>
            <w:r>
              <w:t>指标</w:t>
            </w:r>
          </w:p>
        </w:tc>
        <w:tc>
          <w:tcPr>
            <w:tcW w:w="4667" w:type="dxa"/>
            <w:tcBorders>
              <w:top w:val="single" w:color="auto" w:sz="8" w:space="0"/>
              <w:bottom w:val="single" w:color="auto" w:sz="8" w:space="0"/>
            </w:tcBorders>
            <w:vAlign w:val="center"/>
          </w:tcPr>
          <w:p w14:paraId="1A38B3F1">
            <w:pPr>
              <w:pStyle w:val="178"/>
            </w:pPr>
            <w:r>
              <w:t>要求</w:t>
            </w:r>
          </w:p>
        </w:tc>
      </w:tr>
      <w:tr w14:paraId="167CCB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vAlign w:val="center"/>
          </w:tcPr>
          <w:p w14:paraId="481E51E1">
            <w:pPr>
              <w:pStyle w:val="178"/>
            </w:pPr>
            <w:r>
              <w:t>pH</w:t>
            </w:r>
          </w:p>
        </w:tc>
        <w:tc>
          <w:tcPr>
            <w:tcW w:w="4667" w:type="dxa"/>
            <w:tcBorders>
              <w:top w:val="single" w:color="auto" w:sz="8" w:space="0"/>
            </w:tcBorders>
            <w:vAlign w:val="center"/>
          </w:tcPr>
          <w:p w14:paraId="2E894E0C">
            <w:pPr>
              <w:pStyle w:val="178"/>
            </w:pPr>
            <w:r>
              <w:t>6.0～9.0</w:t>
            </w:r>
          </w:p>
        </w:tc>
      </w:tr>
      <w:tr w14:paraId="766CF7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14:paraId="3865C194">
            <w:pPr>
              <w:pStyle w:val="178"/>
            </w:pPr>
            <w:r>
              <w:t>透明度/cm</w:t>
            </w:r>
          </w:p>
        </w:tc>
        <w:tc>
          <w:tcPr>
            <w:tcW w:w="4667" w:type="dxa"/>
            <w:vAlign w:val="center"/>
          </w:tcPr>
          <w:p w14:paraId="48B83704">
            <w:pPr>
              <w:pStyle w:val="178"/>
            </w:pPr>
            <w:r>
              <w:t>≥30</w:t>
            </w:r>
          </w:p>
        </w:tc>
      </w:tr>
      <w:tr w14:paraId="26C018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14:paraId="6F45B4E1">
            <w:pPr>
              <w:pStyle w:val="178"/>
            </w:pPr>
            <w:r>
              <w:t>漂浮物质</w:t>
            </w:r>
          </w:p>
        </w:tc>
        <w:tc>
          <w:tcPr>
            <w:tcW w:w="4667" w:type="dxa"/>
            <w:vAlign w:val="center"/>
          </w:tcPr>
          <w:p w14:paraId="36FC2C88">
            <w:pPr>
              <w:pStyle w:val="178"/>
            </w:pPr>
            <w:r>
              <w:t>无油膜及无漂浮物</w:t>
            </w:r>
          </w:p>
        </w:tc>
      </w:tr>
      <w:tr w14:paraId="6BA717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vAlign w:val="center"/>
          </w:tcPr>
          <w:p w14:paraId="164731EA">
            <w:pPr>
              <w:pStyle w:val="178"/>
            </w:pPr>
            <w:r>
              <w:t>有毒物质</w:t>
            </w:r>
          </w:p>
        </w:tc>
        <w:tc>
          <w:tcPr>
            <w:tcW w:w="4667" w:type="dxa"/>
            <w:vAlign w:val="center"/>
          </w:tcPr>
          <w:p w14:paraId="447D1376">
            <w:pPr>
              <w:widowControl/>
              <w:spacing w:line="240" w:lineRule="auto"/>
              <w:jc w:val="center"/>
              <w:rPr>
                <w:rFonts w:ascii="宋体" w:hAnsi="Times New Roman"/>
                <w:kern w:val="0"/>
                <w:sz w:val="18"/>
                <w:szCs w:val="20"/>
              </w:rPr>
            </w:pPr>
            <w:r>
              <w:rPr>
                <w:rFonts w:ascii="宋体" w:hAnsi="Times New Roman"/>
                <w:kern w:val="0"/>
                <w:sz w:val="18"/>
                <w:szCs w:val="20"/>
              </w:rPr>
              <w:t>按GB 3838 I类、II类和Ⅲ类水</w:t>
            </w:r>
          </w:p>
          <w:p w14:paraId="3718733D">
            <w:pPr>
              <w:pStyle w:val="178"/>
            </w:pPr>
            <w:r>
              <w:t>或按</w:t>
            </w:r>
            <w:bookmarkStart w:id="45" w:name="OLE_LINK10"/>
            <w:bookmarkStart w:id="46" w:name="OLE_LINK9"/>
            <w:r>
              <w:t>GB 3097</w:t>
            </w:r>
            <w:bookmarkEnd w:id="45"/>
            <w:bookmarkEnd w:id="46"/>
            <w:r>
              <w:t>第一类和第二类执行</w:t>
            </w:r>
          </w:p>
        </w:tc>
      </w:tr>
    </w:tbl>
    <w:p w14:paraId="5997D2DA">
      <w:pPr>
        <w:pStyle w:val="65"/>
        <w:spacing w:before="156" w:after="156"/>
      </w:pPr>
      <w:r>
        <w:rPr>
          <w:rFonts w:hint="eastAsia"/>
        </w:rPr>
        <w:t>沐浴用水</w:t>
      </w:r>
    </w:p>
    <w:p w14:paraId="1419D071">
      <w:pPr>
        <w:pStyle w:val="164"/>
      </w:pPr>
      <w:r>
        <w:rPr>
          <w:rFonts w:hint="eastAsia"/>
        </w:rPr>
        <w:t>沐浴用水中不得检出嗜肺军团菌，池水浑浊度不应大于5 NTU，池水原水及补充用水应符合GB 5749的要求。</w:t>
      </w:r>
    </w:p>
    <w:p w14:paraId="1E564BBD">
      <w:pPr>
        <w:pStyle w:val="164"/>
      </w:pPr>
      <w:r>
        <w:rPr>
          <w:rFonts w:hint="eastAsia"/>
        </w:rPr>
        <w:t>沐浴池水的温度参考附录A要求执行。</w:t>
      </w:r>
    </w:p>
    <w:p w14:paraId="75CCD1EF">
      <w:pPr>
        <w:pStyle w:val="105"/>
        <w:spacing w:before="156" w:after="156"/>
      </w:pPr>
      <w:r>
        <w:rPr>
          <w:rFonts w:hint="eastAsia"/>
        </w:rPr>
        <w:t>集中空调通风系统</w:t>
      </w:r>
    </w:p>
    <w:p w14:paraId="66AE2BD9">
      <w:pPr>
        <w:pStyle w:val="56"/>
        <w:ind w:firstLine="420"/>
      </w:pPr>
      <w:r>
        <w:rPr>
          <w:rFonts w:hint="eastAsia"/>
        </w:rPr>
        <w:t>公共场所集中空调通风系统应符合 WS 10013 的强制性卫生指标要求。</w:t>
      </w:r>
    </w:p>
    <w:p w14:paraId="5EA27D0D">
      <w:pPr>
        <w:pStyle w:val="105"/>
        <w:spacing w:before="156" w:after="156"/>
      </w:pPr>
      <w:r>
        <w:rPr>
          <w:rFonts w:hint="eastAsia"/>
        </w:rPr>
        <w:t>公共用品用具</w:t>
      </w:r>
    </w:p>
    <w:p w14:paraId="45A80E4E">
      <w:pPr>
        <w:pStyle w:val="165"/>
      </w:pPr>
      <w:r>
        <w:rPr>
          <w:rFonts w:hint="eastAsia"/>
        </w:rPr>
        <w:t>待使用棉织品，其水萃取液的pH值应在6.5～8.5之间。</w:t>
      </w:r>
    </w:p>
    <w:p w14:paraId="084072F3">
      <w:pPr>
        <w:pStyle w:val="165"/>
      </w:pPr>
      <w:r>
        <w:rPr>
          <w:rFonts w:hint="eastAsia"/>
        </w:rPr>
        <w:t>待使用公共用品用具的外观、细菌总数、总大肠菌群、金黄色葡萄球菌和真菌总数应符合表5的要求。</w:t>
      </w:r>
    </w:p>
    <w:p w14:paraId="3946C917">
      <w:pPr>
        <w:pStyle w:val="112"/>
        <w:spacing w:before="156" w:after="156"/>
      </w:pPr>
      <w:r>
        <w:rPr>
          <w:rFonts w:hint="eastAsia"/>
        </w:rPr>
        <w:t>公共场所公共用品用具卫生要求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14:paraId="370548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6" w:type="dxa"/>
            <w:tcBorders>
              <w:top w:val="single" w:color="auto" w:sz="8" w:space="0"/>
              <w:bottom w:val="single" w:color="auto" w:sz="8" w:space="0"/>
            </w:tcBorders>
            <w:vAlign w:val="center"/>
          </w:tcPr>
          <w:p w14:paraId="2994625F">
            <w:pPr>
              <w:pStyle w:val="178"/>
            </w:pPr>
            <w:r>
              <w:rPr>
                <w:rFonts w:ascii="Times New Roman"/>
                <w:color w:val="000000" w:themeColor="text1"/>
                <w:szCs w:val="22"/>
                <w:lang w:bidi="ar"/>
                <w14:textFill>
                  <w14:solidFill>
                    <w14:schemeClr w14:val="tx1"/>
                  </w14:solidFill>
                </w14:textFill>
              </w:rPr>
              <w:t>公共用品用具</w:t>
            </w:r>
          </w:p>
        </w:tc>
        <w:tc>
          <w:tcPr>
            <w:tcW w:w="1556" w:type="dxa"/>
            <w:tcBorders>
              <w:top w:val="single" w:color="auto" w:sz="8" w:space="0"/>
              <w:bottom w:val="single" w:color="auto" w:sz="8" w:space="0"/>
            </w:tcBorders>
            <w:vAlign w:val="center"/>
          </w:tcPr>
          <w:p w14:paraId="56ABBFCE">
            <w:pPr>
              <w:pStyle w:val="178"/>
            </w:pPr>
            <w:r>
              <w:rPr>
                <w:rFonts w:ascii="Times New Roman"/>
                <w:color w:val="000000" w:themeColor="text1"/>
                <w:szCs w:val="22"/>
                <w:lang w:bidi="ar"/>
                <w14:textFill>
                  <w14:solidFill>
                    <w14:schemeClr w14:val="tx1"/>
                  </w14:solidFill>
                </w14:textFill>
              </w:rPr>
              <w:t>外观</w:t>
            </w:r>
          </w:p>
        </w:tc>
        <w:tc>
          <w:tcPr>
            <w:tcW w:w="1555" w:type="dxa"/>
            <w:tcBorders>
              <w:top w:val="single" w:color="auto" w:sz="8" w:space="0"/>
              <w:bottom w:val="single" w:color="auto" w:sz="8" w:space="0"/>
            </w:tcBorders>
            <w:vAlign w:val="center"/>
          </w:tcPr>
          <w:p w14:paraId="7C88B890">
            <w:pPr>
              <w:pStyle w:val="178"/>
            </w:pPr>
            <w:r>
              <w:rPr>
                <w:rFonts w:ascii="Times New Roman"/>
                <w:color w:val="000000" w:themeColor="text1"/>
                <w:szCs w:val="22"/>
                <w:lang w:bidi="ar"/>
                <w14:textFill>
                  <w14:solidFill>
                    <w14:schemeClr w14:val="tx1"/>
                  </w14:solidFill>
                </w14:textFill>
              </w:rPr>
              <w:t>细菌总数</w:t>
            </w:r>
          </w:p>
        </w:tc>
        <w:tc>
          <w:tcPr>
            <w:tcW w:w="1555" w:type="dxa"/>
            <w:tcBorders>
              <w:top w:val="single" w:color="auto" w:sz="8" w:space="0"/>
              <w:bottom w:val="single" w:color="auto" w:sz="8" w:space="0"/>
            </w:tcBorders>
            <w:vAlign w:val="center"/>
          </w:tcPr>
          <w:p w14:paraId="55415D79">
            <w:pPr>
              <w:pStyle w:val="178"/>
            </w:pPr>
            <w:r>
              <w:rPr>
                <w:rFonts w:ascii="Times New Roman"/>
                <w:color w:val="000000" w:themeColor="text1"/>
                <w:szCs w:val="22"/>
                <w:lang w:bidi="ar"/>
                <w14:textFill>
                  <w14:solidFill>
                    <w14:schemeClr w14:val="tx1"/>
                  </w14:solidFill>
                </w14:textFill>
              </w:rPr>
              <w:t>总大肠菌群</w:t>
            </w:r>
            <w:r>
              <w:rPr>
                <w:rFonts w:ascii="Times New Roman"/>
                <w:color w:val="000000" w:themeColor="text1"/>
                <w:szCs w:val="22"/>
                <w:vertAlign w:val="superscript"/>
                <w:lang w:bidi="ar"/>
                <w14:textFill>
                  <w14:solidFill>
                    <w14:schemeClr w14:val="tx1"/>
                  </w14:solidFill>
                </w14:textFill>
              </w:rPr>
              <w:t>a</w:t>
            </w:r>
          </w:p>
        </w:tc>
        <w:tc>
          <w:tcPr>
            <w:tcW w:w="1556" w:type="dxa"/>
            <w:tcBorders>
              <w:top w:val="single" w:color="auto" w:sz="8" w:space="0"/>
              <w:bottom w:val="single" w:color="auto" w:sz="8" w:space="0"/>
            </w:tcBorders>
            <w:vAlign w:val="center"/>
          </w:tcPr>
          <w:p w14:paraId="61C7B436">
            <w:pPr>
              <w:pStyle w:val="178"/>
            </w:pPr>
            <w:r>
              <w:rPr>
                <w:rFonts w:ascii="Times New Roman"/>
                <w:color w:val="000000" w:themeColor="text1"/>
                <w:szCs w:val="22"/>
                <w:lang w:bidi="ar"/>
                <w14:textFill>
                  <w14:solidFill>
                    <w14:schemeClr w14:val="tx1"/>
                  </w14:solidFill>
                </w14:textFill>
              </w:rPr>
              <w:t>金黄色葡萄球菌</w:t>
            </w:r>
            <w:r>
              <w:rPr>
                <w:rFonts w:ascii="Times New Roman"/>
                <w:color w:val="000000" w:themeColor="text1"/>
                <w:szCs w:val="22"/>
                <w:vertAlign w:val="superscript"/>
                <w:lang w:bidi="ar"/>
                <w14:textFill>
                  <w14:solidFill>
                    <w14:schemeClr w14:val="tx1"/>
                  </w14:solidFill>
                </w14:textFill>
              </w:rPr>
              <w:t>a</w:t>
            </w:r>
          </w:p>
        </w:tc>
        <w:tc>
          <w:tcPr>
            <w:tcW w:w="1556" w:type="dxa"/>
            <w:tcBorders>
              <w:top w:val="single" w:color="auto" w:sz="8" w:space="0"/>
              <w:bottom w:val="single" w:color="auto" w:sz="8" w:space="0"/>
            </w:tcBorders>
            <w:vAlign w:val="center"/>
          </w:tcPr>
          <w:p w14:paraId="77A8229A">
            <w:pPr>
              <w:pStyle w:val="178"/>
            </w:pPr>
            <w:r>
              <w:rPr>
                <w:rFonts w:ascii="Times New Roman"/>
                <w:color w:val="000000" w:themeColor="text1"/>
                <w:szCs w:val="22"/>
                <w:lang w:bidi="ar"/>
                <w14:textFill>
                  <w14:solidFill>
                    <w14:schemeClr w14:val="tx1"/>
                  </w14:solidFill>
                </w14:textFill>
              </w:rPr>
              <w:t>真菌总数</w:t>
            </w:r>
          </w:p>
        </w:tc>
      </w:tr>
      <w:tr w14:paraId="15DDBF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tcBorders>
            <w:vAlign w:val="center"/>
          </w:tcPr>
          <w:p w14:paraId="436C12E9">
            <w:pPr>
              <w:pStyle w:val="178"/>
              <w:rPr>
                <w:rFonts w:hint="eastAsia" w:hAnsi="宋体"/>
              </w:rPr>
            </w:pPr>
            <w:r>
              <w:rPr>
                <w:rFonts w:hAnsi="宋体"/>
                <w:color w:val="000000" w:themeColor="text1"/>
                <w:szCs w:val="22"/>
                <w:lang w:bidi="ar"/>
                <w14:textFill>
                  <w14:solidFill>
                    <w14:schemeClr w14:val="tx1"/>
                  </w14:solidFill>
                </w14:textFill>
              </w:rPr>
              <w:t>杯具</w:t>
            </w:r>
          </w:p>
        </w:tc>
        <w:tc>
          <w:tcPr>
            <w:tcW w:w="1556" w:type="dxa"/>
            <w:tcBorders>
              <w:top w:val="single" w:color="auto" w:sz="8" w:space="0"/>
            </w:tcBorders>
            <w:vAlign w:val="center"/>
          </w:tcPr>
          <w:p w14:paraId="37CAF9FA">
            <w:pPr>
              <w:widowControl/>
              <w:spacing w:line="240" w:lineRule="auto"/>
              <w:jc w:val="left"/>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表面光洁、无污渍、无水渍、无异味、无破损</w:t>
            </w:r>
          </w:p>
        </w:tc>
        <w:tc>
          <w:tcPr>
            <w:tcW w:w="1555" w:type="dxa"/>
            <w:tcBorders>
              <w:top w:val="single" w:color="auto" w:sz="8" w:space="0"/>
            </w:tcBorders>
            <w:vAlign w:val="center"/>
          </w:tcPr>
          <w:p w14:paraId="5CFCD544">
            <w:pPr>
              <w:pStyle w:val="178"/>
              <w:rPr>
                <w:rFonts w:hint="eastAsia" w:hAnsi="宋体"/>
              </w:rPr>
            </w:pPr>
            <w:r>
              <w:rPr>
                <w:rFonts w:hAnsi="宋体"/>
                <w:color w:val="000000" w:themeColor="text1"/>
                <w:szCs w:val="22"/>
                <w:lang w:bidi="ar"/>
                <w14:textFill>
                  <w14:solidFill>
                    <w14:schemeClr w14:val="tx1"/>
                  </w14:solidFill>
                </w14:textFill>
              </w:rPr>
              <w:t xml:space="preserve">≤5 </w:t>
            </w:r>
            <w:r>
              <w:rPr>
                <w:rFonts w:hAnsi="宋体"/>
                <w:color w:val="000000" w:themeColor="text1"/>
                <w:szCs w:val="18"/>
                <w:lang w:bidi="ar"/>
                <w14:textFill>
                  <w14:solidFill>
                    <w14:schemeClr w14:val="tx1"/>
                  </w14:solidFill>
                </w14:textFill>
              </w:rPr>
              <w:t>CFU</w:t>
            </w:r>
            <w:r>
              <w:rPr>
                <w:rFonts w:hAnsi="宋体"/>
                <w:color w:val="000000" w:themeColor="text1"/>
                <w:szCs w:val="22"/>
                <w:lang w:bidi="ar"/>
                <w14:textFill>
                  <w14:solidFill>
                    <w14:schemeClr w14:val="tx1"/>
                  </w14:solidFill>
                </w14:textFill>
              </w:rPr>
              <w:t>/</w:t>
            </w:r>
            <w:r>
              <w:rPr>
                <w:rFonts w:hAnsi="宋体"/>
                <w:color w:val="000000" w:themeColor="text1"/>
                <w:szCs w:val="18"/>
                <w:lang w:bidi="ar"/>
                <w14:textFill>
                  <w14:solidFill>
                    <w14:schemeClr w14:val="tx1"/>
                  </w14:solidFill>
                </w14:textFill>
              </w:rPr>
              <w:t>cm</w:t>
            </w:r>
            <w:r>
              <w:rPr>
                <w:rFonts w:hAnsi="宋体"/>
                <w:color w:val="000000" w:themeColor="text1"/>
                <w:szCs w:val="15"/>
                <w:vertAlign w:val="superscript"/>
                <w:lang w:bidi="ar"/>
                <w14:textFill>
                  <w14:solidFill>
                    <w14:schemeClr w14:val="tx1"/>
                  </w14:solidFill>
                </w14:textFill>
              </w:rPr>
              <w:t>2</w:t>
            </w:r>
          </w:p>
        </w:tc>
        <w:tc>
          <w:tcPr>
            <w:tcW w:w="1555" w:type="dxa"/>
            <w:tcBorders>
              <w:top w:val="single" w:color="auto" w:sz="8" w:space="0"/>
            </w:tcBorders>
            <w:vAlign w:val="center"/>
          </w:tcPr>
          <w:p w14:paraId="62086F39">
            <w:pPr>
              <w:pStyle w:val="178"/>
              <w:rPr>
                <w:rFonts w:hint="eastAsia" w:hAnsi="宋体"/>
              </w:rPr>
            </w:pPr>
            <w:r>
              <w:rPr>
                <w:rFonts w:hAnsi="宋体"/>
                <w:color w:val="000000" w:themeColor="text1"/>
                <w:szCs w:val="22"/>
                <w:lang w:bidi="ar"/>
                <w14:textFill>
                  <w14:solidFill>
                    <w14:schemeClr w14:val="tx1"/>
                  </w14:solidFill>
                </w14:textFill>
              </w:rPr>
              <w:t>不得检出</w:t>
            </w:r>
          </w:p>
        </w:tc>
        <w:tc>
          <w:tcPr>
            <w:tcW w:w="1556" w:type="dxa"/>
            <w:tcBorders>
              <w:top w:val="single" w:color="auto" w:sz="8" w:space="0"/>
            </w:tcBorders>
            <w:vAlign w:val="center"/>
          </w:tcPr>
          <w:p w14:paraId="7BB833E0">
            <w:pPr>
              <w:pStyle w:val="178"/>
              <w:rPr>
                <w:rFonts w:hint="eastAsia" w:hAnsi="宋体"/>
              </w:rPr>
            </w:pPr>
            <w:r>
              <w:rPr>
                <w:rFonts w:hAnsi="宋体"/>
                <w:color w:val="000000" w:themeColor="text1"/>
                <w:szCs w:val="22"/>
                <w:lang w:bidi="ar"/>
                <w14:textFill>
                  <w14:solidFill>
                    <w14:schemeClr w14:val="tx1"/>
                  </w14:solidFill>
                </w14:textFill>
              </w:rPr>
              <w:t>—</w:t>
            </w:r>
          </w:p>
        </w:tc>
        <w:tc>
          <w:tcPr>
            <w:tcW w:w="1556" w:type="dxa"/>
            <w:tcBorders>
              <w:top w:val="single" w:color="auto" w:sz="8" w:space="0"/>
            </w:tcBorders>
            <w:vAlign w:val="center"/>
          </w:tcPr>
          <w:p w14:paraId="23BB9D84">
            <w:pPr>
              <w:pStyle w:val="178"/>
              <w:rPr>
                <w:rFonts w:hint="eastAsia" w:hAnsi="宋体"/>
              </w:rPr>
            </w:pPr>
            <w:r>
              <w:rPr>
                <w:rFonts w:hAnsi="宋体"/>
                <w:color w:val="000000" w:themeColor="text1"/>
                <w:szCs w:val="22"/>
                <w:lang w:bidi="ar"/>
                <w14:textFill>
                  <w14:solidFill>
                    <w14:schemeClr w14:val="tx1"/>
                  </w14:solidFill>
                </w14:textFill>
              </w:rPr>
              <w:t>—</w:t>
            </w:r>
          </w:p>
        </w:tc>
      </w:tr>
      <w:tr w14:paraId="1E4E12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Align w:val="center"/>
          </w:tcPr>
          <w:p w14:paraId="0580CE48">
            <w:pPr>
              <w:pStyle w:val="178"/>
              <w:rPr>
                <w:rFonts w:hint="eastAsia" w:hAnsi="宋体"/>
              </w:rPr>
            </w:pPr>
            <w:r>
              <w:rPr>
                <w:rFonts w:hAnsi="宋体"/>
                <w:color w:val="000000" w:themeColor="text1"/>
                <w:szCs w:val="22"/>
                <w:lang w:bidi="ar"/>
                <w14:textFill>
                  <w14:solidFill>
                    <w14:schemeClr w14:val="tx1"/>
                  </w14:solidFill>
                </w14:textFill>
              </w:rPr>
              <w:t>棉织品</w:t>
            </w:r>
          </w:p>
        </w:tc>
        <w:tc>
          <w:tcPr>
            <w:tcW w:w="1556" w:type="dxa"/>
            <w:vAlign w:val="center"/>
          </w:tcPr>
          <w:p w14:paraId="7ADBF723">
            <w:pPr>
              <w:widowControl/>
              <w:spacing w:line="240" w:lineRule="auto"/>
              <w:jc w:val="left"/>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清洁整齐、无污渍、无破损、无毛发、无异味</w:t>
            </w:r>
          </w:p>
        </w:tc>
        <w:tc>
          <w:tcPr>
            <w:tcW w:w="1555" w:type="dxa"/>
            <w:vAlign w:val="center"/>
          </w:tcPr>
          <w:p w14:paraId="66FBA8CF">
            <w:pPr>
              <w:pStyle w:val="178"/>
              <w:rPr>
                <w:rFonts w:hint="eastAsia" w:hAnsi="宋体"/>
              </w:rPr>
            </w:pPr>
            <w:r>
              <w:rPr>
                <w:rFonts w:hAnsi="宋体"/>
                <w:color w:val="000000" w:themeColor="text1"/>
                <w:szCs w:val="22"/>
                <w:lang w:bidi="ar"/>
                <w14:textFill>
                  <w14:solidFill>
                    <w14:schemeClr w14:val="tx1"/>
                  </w14:solidFill>
                </w14:textFill>
              </w:rPr>
              <w:t xml:space="preserve">≤200 </w:t>
            </w:r>
            <w:r>
              <w:rPr>
                <w:rFonts w:hAnsi="宋体"/>
                <w:color w:val="000000" w:themeColor="text1"/>
                <w:szCs w:val="18"/>
                <w:lang w:bidi="ar"/>
                <w14:textFill>
                  <w14:solidFill>
                    <w14:schemeClr w14:val="tx1"/>
                  </w14:solidFill>
                </w14:textFill>
              </w:rPr>
              <w:t>CFU</w:t>
            </w:r>
            <w:r>
              <w:rPr>
                <w:rFonts w:hAnsi="宋体"/>
                <w:color w:val="000000" w:themeColor="text1"/>
                <w:szCs w:val="22"/>
                <w:lang w:bidi="ar"/>
                <w14:textFill>
                  <w14:solidFill>
                    <w14:schemeClr w14:val="tx1"/>
                  </w14:solidFill>
                </w14:textFill>
              </w:rPr>
              <w:t xml:space="preserve">/25 </w:t>
            </w:r>
            <w:r>
              <w:rPr>
                <w:rFonts w:hAnsi="宋体"/>
                <w:color w:val="000000" w:themeColor="text1"/>
                <w:szCs w:val="18"/>
                <w:lang w:bidi="ar"/>
                <w14:textFill>
                  <w14:solidFill>
                    <w14:schemeClr w14:val="tx1"/>
                  </w14:solidFill>
                </w14:textFill>
              </w:rPr>
              <w:t>cm</w:t>
            </w:r>
            <w:r>
              <w:rPr>
                <w:rFonts w:hAnsi="宋体"/>
                <w:color w:val="000000" w:themeColor="text1"/>
                <w:szCs w:val="15"/>
                <w:vertAlign w:val="superscript"/>
                <w:lang w:bidi="ar"/>
                <w14:textFill>
                  <w14:solidFill>
                    <w14:schemeClr w14:val="tx1"/>
                  </w14:solidFill>
                </w14:textFill>
              </w:rPr>
              <w:t>2</w:t>
            </w:r>
          </w:p>
        </w:tc>
        <w:tc>
          <w:tcPr>
            <w:tcW w:w="1555" w:type="dxa"/>
            <w:vAlign w:val="center"/>
          </w:tcPr>
          <w:p w14:paraId="1A595124">
            <w:pPr>
              <w:pStyle w:val="178"/>
              <w:rPr>
                <w:rFonts w:hint="eastAsia" w:hAnsi="宋体"/>
              </w:rPr>
            </w:pPr>
            <w:r>
              <w:rPr>
                <w:rFonts w:hAnsi="宋体"/>
                <w:color w:val="000000" w:themeColor="text1"/>
                <w:szCs w:val="22"/>
                <w:lang w:bidi="ar"/>
                <w14:textFill>
                  <w14:solidFill>
                    <w14:schemeClr w14:val="tx1"/>
                  </w14:solidFill>
                </w14:textFill>
              </w:rPr>
              <w:t>不得检出</w:t>
            </w:r>
          </w:p>
        </w:tc>
        <w:tc>
          <w:tcPr>
            <w:tcW w:w="1556" w:type="dxa"/>
            <w:vAlign w:val="center"/>
          </w:tcPr>
          <w:p w14:paraId="2A2FE853">
            <w:pPr>
              <w:pStyle w:val="178"/>
              <w:rPr>
                <w:rFonts w:hint="eastAsia" w:hAnsi="宋体"/>
              </w:rPr>
            </w:pPr>
            <w:r>
              <w:rPr>
                <w:rFonts w:hAnsi="宋体"/>
                <w:color w:val="000000" w:themeColor="text1"/>
                <w:szCs w:val="22"/>
                <w:lang w:bidi="ar"/>
                <w14:textFill>
                  <w14:solidFill>
                    <w14:schemeClr w14:val="tx1"/>
                  </w14:solidFill>
                </w14:textFill>
              </w:rPr>
              <w:t>不得检出</w:t>
            </w:r>
          </w:p>
        </w:tc>
        <w:tc>
          <w:tcPr>
            <w:tcW w:w="1556" w:type="dxa"/>
            <w:vAlign w:val="center"/>
          </w:tcPr>
          <w:p w14:paraId="2C8C813B">
            <w:pPr>
              <w:pStyle w:val="178"/>
              <w:rPr>
                <w:rFonts w:hint="eastAsia" w:hAnsi="宋体"/>
              </w:rPr>
            </w:pPr>
            <w:r>
              <w:rPr>
                <w:rFonts w:hAnsi="宋体"/>
                <w:color w:val="000000" w:themeColor="text1"/>
                <w:szCs w:val="22"/>
                <w:lang w:bidi="ar"/>
                <w14:textFill>
                  <w14:solidFill>
                    <w14:schemeClr w14:val="tx1"/>
                  </w14:solidFill>
                </w14:textFill>
              </w:rPr>
              <w:t>—</w:t>
            </w:r>
          </w:p>
        </w:tc>
      </w:tr>
      <w:tr w14:paraId="27C86B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Align w:val="center"/>
          </w:tcPr>
          <w:p w14:paraId="04C35C54">
            <w:pPr>
              <w:pStyle w:val="178"/>
              <w:rPr>
                <w:rFonts w:hint="eastAsia" w:hAnsi="宋体"/>
              </w:rPr>
            </w:pPr>
            <w:r>
              <w:rPr>
                <w:rFonts w:hAnsi="宋体"/>
                <w:color w:val="000000" w:themeColor="text1"/>
                <w:szCs w:val="22"/>
                <w:lang w:bidi="ar"/>
                <w14:textFill>
                  <w14:solidFill>
                    <w14:schemeClr w14:val="tx1"/>
                  </w14:solidFill>
                </w14:textFill>
              </w:rPr>
              <w:t>洁具</w:t>
            </w:r>
          </w:p>
        </w:tc>
        <w:tc>
          <w:tcPr>
            <w:tcW w:w="1556" w:type="dxa"/>
            <w:vAlign w:val="center"/>
          </w:tcPr>
          <w:p w14:paraId="3E8D1F0B">
            <w:pPr>
              <w:widowControl/>
              <w:spacing w:line="240" w:lineRule="auto"/>
              <w:jc w:val="left"/>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表面光洁、无污渍、无异味</w:t>
            </w:r>
          </w:p>
        </w:tc>
        <w:tc>
          <w:tcPr>
            <w:tcW w:w="1555" w:type="dxa"/>
            <w:vAlign w:val="center"/>
          </w:tcPr>
          <w:p w14:paraId="219D0FFD">
            <w:pPr>
              <w:pStyle w:val="178"/>
              <w:rPr>
                <w:rFonts w:hint="eastAsia" w:hAnsi="宋体"/>
              </w:rPr>
            </w:pPr>
            <w:r>
              <w:rPr>
                <w:rFonts w:hAnsi="宋体"/>
                <w:color w:val="000000" w:themeColor="text1"/>
                <w:szCs w:val="22"/>
                <w:lang w:bidi="ar"/>
                <w14:textFill>
                  <w14:solidFill>
                    <w14:schemeClr w14:val="tx1"/>
                  </w14:solidFill>
                </w14:textFill>
              </w:rPr>
              <w:t xml:space="preserve">≤300 </w:t>
            </w:r>
            <w:r>
              <w:rPr>
                <w:rFonts w:hAnsi="宋体"/>
                <w:color w:val="000000" w:themeColor="text1"/>
                <w:szCs w:val="18"/>
                <w:lang w:bidi="ar"/>
                <w14:textFill>
                  <w14:solidFill>
                    <w14:schemeClr w14:val="tx1"/>
                  </w14:solidFill>
                </w14:textFill>
              </w:rPr>
              <w:t>CFU</w:t>
            </w:r>
            <w:r>
              <w:rPr>
                <w:rFonts w:hAnsi="宋体"/>
                <w:color w:val="000000" w:themeColor="text1"/>
                <w:szCs w:val="22"/>
                <w:lang w:bidi="ar"/>
                <w14:textFill>
                  <w14:solidFill>
                    <w14:schemeClr w14:val="tx1"/>
                  </w14:solidFill>
                </w14:textFill>
              </w:rPr>
              <w:t xml:space="preserve">/25 </w:t>
            </w:r>
            <w:r>
              <w:rPr>
                <w:rFonts w:hAnsi="宋体"/>
                <w:color w:val="000000" w:themeColor="text1"/>
                <w:szCs w:val="18"/>
                <w:lang w:bidi="ar"/>
                <w14:textFill>
                  <w14:solidFill>
                    <w14:schemeClr w14:val="tx1"/>
                  </w14:solidFill>
                </w14:textFill>
              </w:rPr>
              <w:t>cm</w:t>
            </w:r>
            <w:r>
              <w:rPr>
                <w:rFonts w:hAnsi="宋体"/>
                <w:color w:val="000000" w:themeColor="text1"/>
                <w:szCs w:val="15"/>
                <w:vertAlign w:val="superscript"/>
                <w:lang w:bidi="ar"/>
                <w14:textFill>
                  <w14:solidFill>
                    <w14:schemeClr w14:val="tx1"/>
                  </w14:solidFill>
                </w14:textFill>
              </w:rPr>
              <w:t>2</w:t>
            </w:r>
          </w:p>
        </w:tc>
        <w:tc>
          <w:tcPr>
            <w:tcW w:w="1555" w:type="dxa"/>
            <w:vAlign w:val="center"/>
          </w:tcPr>
          <w:p w14:paraId="16CA764A">
            <w:pPr>
              <w:pStyle w:val="178"/>
              <w:rPr>
                <w:rFonts w:hint="eastAsia" w:hAnsi="宋体"/>
              </w:rPr>
            </w:pPr>
            <w:r>
              <w:rPr>
                <w:rFonts w:hAnsi="宋体"/>
                <w:color w:val="000000" w:themeColor="text1"/>
                <w:szCs w:val="22"/>
                <w:lang w:bidi="ar"/>
                <w14:textFill>
                  <w14:solidFill>
                    <w14:schemeClr w14:val="tx1"/>
                  </w14:solidFill>
                </w14:textFill>
              </w:rPr>
              <w:t>不得检出</w:t>
            </w:r>
          </w:p>
        </w:tc>
        <w:tc>
          <w:tcPr>
            <w:tcW w:w="1556" w:type="dxa"/>
            <w:vAlign w:val="center"/>
          </w:tcPr>
          <w:p w14:paraId="1404A9ED">
            <w:pPr>
              <w:pStyle w:val="178"/>
              <w:rPr>
                <w:rFonts w:hint="eastAsia" w:hAnsi="宋体"/>
              </w:rPr>
            </w:pPr>
            <w:r>
              <w:rPr>
                <w:rFonts w:hAnsi="宋体"/>
                <w:color w:val="000000" w:themeColor="text1"/>
                <w:szCs w:val="22"/>
                <w:lang w:bidi="ar"/>
                <w14:textFill>
                  <w14:solidFill>
                    <w14:schemeClr w14:val="tx1"/>
                  </w14:solidFill>
                </w14:textFill>
              </w:rPr>
              <w:t>—</w:t>
            </w:r>
          </w:p>
        </w:tc>
        <w:tc>
          <w:tcPr>
            <w:tcW w:w="1556" w:type="dxa"/>
            <w:vAlign w:val="center"/>
          </w:tcPr>
          <w:p w14:paraId="19842AF9">
            <w:pPr>
              <w:pStyle w:val="178"/>
              <w:rPr>
                <w:rFonts w:hint="eastAsia" w:hAnsi="宋体"/>
              </w:rPr>
            </w:pPr>
            <w:r>
              <w:rPr>
                <w:rFonts w:hAnsi="宋体"/>
                <w:color w:val="000000" w:themeColor="text1"/>
                <w:szCs w:val="22"/>
                <w:lang w:bidi="ar"/>
                <w14:textFill>
                  <w14:solidFill>
                    <w14:schemeClr w14:val="tx1"/>
                  </w14:solidFill>
                </w14:textFill>
              </w:rPr>
              <w:t>—</w:t>
            </w:r>
          </w:p>
        </w:tc>
      </w:tr>
      <w:tr w14:paraId="24048B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Align w:val="center"/>
          </w:tcPr>
          <w:p w14:paraId="78A8EFAC">
            <w:pPr>
              <w:pStyle w:val="178"/>
              <w:rPr>
                <w:rFonts w:hint="eastAsia" w:hAnsi="宋体"/>
              </w:rPr>
            </w:pPr>
            <w:r>
              <w:rPr>
                <w:rFonts w:hAnsi="宋体"/>
                <w:color w:val="000000" w:themeColor="text1"/>
                <w:szCs w:val="22"/>
                <w:lang w:bidi="ar"/>
                <w14:textFill>
                  <w14:solidFill>
                    <w14:schemeClr w14:val="tx1"/>
                  </w14:solidFill>
                </w14:textFill>
              </w:rPr>
              <w:t>鞋类</w:t>
            </w:r>
          </w:p>
        </w:tc>
        <w:tc>
          <w:tcPr>
            <w:tcW w:w="1556" w:type="dxa"/>
            <w:vAlign w:val="center"/>
          </w:tcPr>
          <w:p w14:paraId="07FC7E72">
            <w:pPr>
              <w:widowControl/>
              <w:spacing w:line="240" w:lineRule="auto"/>
              <w:jc w:val="left"/>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表面清洁、无破损、无污渍、无异味</w:t>
            </w:r>
          </w:p>
        </w:tc>
        <w:tc>
          <w:tcPr>
            <w:tcW w:w="1555" w:type="dxa"/>
            <w:vAlign w:val="center"/>
          </w:tcPr>
          <w:p w14:paraId="74889F5E">
            <w:pPr>
              <w:pStyle w:val="178"/>
              <w:rPr>
                <w:rFonts w:hint="eastAsia" w:hAnsi="宋体"/>
              </w:rPr>
            </w:pPr>
            <w:r>
              <w:rPr>
                <w:rFonts w:hAnsi="宋体"/>
                <w:color w:val="000000" w:themeColor="text1"/>
                <w:szCs w:val="22"/>
                <w:lang w:bidi="ar"/>
                <w14:textFill>
                  <w14:solidFill>
                    <w14:schemeClr w14:val="tx1"/>
                  </w14:solidFill>
                </w14:textFill>
              </w:rPr>
              <w:t xml:space="preserve">≤300 </w:t>
            </w:r>
            <w:r>
              <w:rPr>
                <w:rFonts w:hAnsi="宋体"/>
                <w:color w:val="000000" w:themeColor="text1"/>
                <w:szCs w:val="18"/>
                <w:lang w:bidi="ar"/>
                <w14:textFill>
                  <w14:solidFill>
                    <w14:schemeClr w14:val="tx1"/>
                  </w14:solidFill>
                </w14:textFill>
              </w:rPr>
              <w:t>CFU</w:t>
            </w:r>
            <w:r>
              <w:rPr>
                <w:rFonts w:hAnsi="宋体"/>
                <w:color w:val="000000" w:themeColor="text1"/>
                <w:szCs w:val="22"/>
                <w:lang w:bidi="ar"/>
                <w14:textFill>
                  <w14:solidFill>
                    <w14:schemeClr w14:val="tx1"/>
                  </w14:solidFill>
                </w14:textFill>
              </w:rPr>
              <w:t xml:space="preserve">/25 </w:t>
            </w:r>
            <w:r>
              <w:rPr>
                <w:rFonts w:hAnsi="宋体"/>
                <w:color w:val="000000" w:themeColor="text1"/>
                <w:szCs w:val="18"/>
                <w:lang w:bidi="ar"/>
                <w14:textFill>
                  <w14:solidFill>
                    <w14:schemeClr w14:val="tx1"/>
                  </w14:solidFill>
                </w14:textFill>
              </w:rPr>
              <w:t>cm</w:t>
            </w:r>
            <w:r>
              <w:rPr>
                <w:rFonts w:hAnsi="宋体"/>
                <w:color w:val="000000" w:themeColor="text1"/>
                <w:szCs w:val="15"/>
                <w:vertAlign w:val="superscript"/>
                <w:lang w:bidi="ar"/>
                <w14:textFill>
                  <w14:solidFill>
                    <w14:schemeClr w14:val="tx1"/>
                  </w14:solidFill>
                </w14:textFill>
              </w:rPr>
              <w:t>2</w:t>
            </w:r>
          </w:p>
        </w:tc>
        <w:tc>
          <w:tcPr>
            <w:tcW w:w="1555" w:type="dxa"/>
            <w:vAlign w:val="center"/>
          </w:tcPr>
          <w:p w14:paraId="3BDCB8C9">
            <w:pPr>
              <w:pStyle w:val="178"/>
              <w:rPr>
                <w:rFonts w:hint="eastAsia" w:hAnsi="宋体"/>
              </w:rPr>
            </w:pPr>
            <w:r>
              <w:rPr>
                <w:rFonts w:hAnsi="宋体"/>
                <w:color w:val="000000" w:themeColor="text1"/>
                <w:szCs w:val="22"/>
                <w:lang w:bidi="ar"/>
                <w14:textFill>
                  <w14:solidFill>
                    <w14:schemeClr w14:val="tx1"/>
                  </w14:solidFill>
                </w14:textFill>
              </w:rPr>
              <w:t>—</w:t>
            </w:r>
          </w:p>
        </w:tc>
        <w:tc>
          <w:tcPr>
            <w:tcW w:w="1556" w:type="dxa"/>
            <w:vAlign w:val="center"/>
          </w:tcPr>
          <w:p w14:paraId="451C9A51">
            <w:pPr>
              <w:pStyle w:val="178"/>
              <w:rPr>
                <w:rFonts w:hint="eastAsia" w:hAnsi="宋体"/>
              </w:rPr>
            </w:pPr>
            <w:r>
              <w:rPr>
                <w:rFonts w:hAnsi="宋体"/>
                <w:color w:val="000000" w:themeColor="text1"/>
                <w:szCs w:val="22"/>
                <w:lang w:bidi="ar"/>
                <w14:textFill>
                  <w14:solidFill>
                    <w14:schemeClr w14:val="tx1"/>
                  </w14:solidFill>
                </w14:textFill>
              </w:rPr>
              <w:t>—</w:t>
            </w:r>
          </w:p>
        </w:tc>
        <w:tc>
          <w:tcPr>
            <w:tcW w:w="1556" w:type="dxa"/>
            <w:vAlign w:val="center"/>
          </w:tcPr>
          <w:p w14:paraId="47D793B9">
            <w:pPr>
              <w:pStyle w:val="178"/>
              <w:rPr>
                <w:rFonts w:hint="eastAsia" w:hAnsi="宋体"/>
              </w:rPr>
            </w:pPr>
            <w:r>
              <w:rPr>
                <w:rFonts w:hint="eastAsia" w:hAnsi="宋体"/>
              </w:rPr>
              <w:t>≤50 CFU/50 cm</w:t>
            </w:r>
            <w:r>
              <w:rPr>
                <w:rFonts w:hint="eastAsia" w:hAnsi="宋体"/>
                <w:vertAlign w:val="superscript"/>
              </w:rPr>
              <w:t>2</w:t>
            </w:r>
          </w:p>
        </w:tc>
      </w:tr>
      <w:tr w14:paraId="6590F8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Align w:val="center"/>
          </w:tcPr>
          <w:p w14:paraId="002C8D9C">
            <w:pPr>
              <w:widowControl/>
              <w:spacing w:line="240" w:lineRule="auto"/>
              <w:jc w:val="center"/>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美容美发工具</w:t>
            </w:r>
          </w:p>
        </w:tc>
        <w:tc>
          <w:tcPr>
            <w:tcW w:w="1556" w:type="dxa"/>
            <w:vAlign w:val="center"/>
          </w:tcPr>
          <w:p w14:paraId="5C5287E3">
            <w:pPr>
              <w:widowControl/>
              <w:spacing w:line="240" w:lineRule="auto"/>
              <w:jc w:val="left"/>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表面清洁、无异味</w:t>
            </w:r>
          </w:p>
        </w:tc>
        <w:tc>
          <w:tcPr>
            <w:tcW w:w="1555" w:type="dxa"/>
            <w:vAlign w:val="center"/>
          </w:tcPr>
          <w:p w14:paraId="58531FDD">
            <w:pPr>
              <w:widowControl/>
              <w:spacing w:line="240" w:lineRule="auto"/>
              <w:jc w:val="center"/>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 xml:space="preserve">≤200 </w:t>
            </w:r>
            <w:r>
              <w:rPr>
                <w:rFonts w:ascii="宋体" w:hAnsi="宋体"/>
                <w:color w:val="000000" w:themeColor="text1"/>
                <w:kern w:val="0"/>
                <w:sz w:val="18"/>
                <w:szCs w:val="18"/>
                <w:lang w:bidi="ar"/>
                <w14:textFill>
                  <w14:solidFill>
                    <w14:schemeClr w14:val="tx1"/>
                  </w14:solidFill>
                </w14:textFill>
              </w:rPr>
              <w:t>CFU</w:t>
            </w:r>
            <w:r>
              <w:rPr>
                <w:rFonts w:ascii="宋体" w:hAnsi="宋体"/>
                <w:color w:val="000000" w:themeColor="text1"/>
                <w:kern w:val="0"/>
                <w:sz w:val="18"/>
                <w:szCs w:val="22"/>
                <w:lang w:bidi="ar"/>
                <w14:textFill>
                  <w14:solidFill>
                    <w14:schemeClr w14:val="tx1"/>
                  </w14:solidFill>
                </w14:textFill>
              </w:rPr>
              <w:t xml:space="preserve">/25 </w:t>
            </w:r>
            <w:r>
              <w:rPr>
                <w:rFonts w:ascii="宋体" w:hAnsi="宋体"/>
                <w:color w:val="000000" w:themeColor="text1"/>
                <w:kern w:val="0"/>
                <w:sz w:val="18"/>
                <w:szCs w:val="18"/>
                <w:lang w:bidi="ar"/>
                <w14:textFill>
                  <w14:solidFill>
                    <w14:schemeClr w14:val="tx1"/>
                  </w14:solidFill>
                </w14:textFill>
              </w:rPr>
              <w:t>cm</w:t>
            </w:r>
            <w:r>
              <w:rPr>
                <w:rFonts w:ascii="宋体" w:hAnsi="宋体"/>
                <w:color w:val="000000" w:themeColor="text1"/>
                <w:kern w:val="0"/>
                <w:sz w:val="18"/>
                <w:szCs w:val="15"/>
                <w:vertAlign w:val="superscript"/>
                <w:lang w:bidi="ar"/>
                <w14:textFill>
                  <w14:solidFill>
                    <w14:schemeClr w14:val="tx1"/>
                  </w14:solidFill>
                </w14:textFill>
              </w:rPr>
              <w:t>2</w:t>
            </w:r>
          </w:p>
        </w:tc>
        <w:tc>
          <w:tcPr>
            <w:tcW w:w="1555" w:type="dxa"/>
            <w:vAlign w:val="center"/>
          </w:tcPr>
          <w:p w14:paraId="114B3100">
            <w:pPr>
              <w:widowControl/>
              <w:spacing w:line="240" w:lineRule="auto"/>
              <w:ind w:left="180"/>
              <w:jc w:val="center"/>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不得检出</w:t>
            </w:r>
          </w:p>
        </w:tc>
        <w:tc>
          <w:tcPr>
            <w:tcW w:w="1556" w:type="dxa"/>
            <w:vAlign w:val="center"/>
          </w:tcPr>
          <w:p w14:paraId="67807DFD">
            <w:pPr>
              <w:widowControl/>
              <w:spacing w:line="240" w:lineRule="auto"/>
              <w:ind w:left="20"/>
              <w:jc w:val="center"/>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不得检出</w:t>
            </w:r>
          </w:p>
        </w:tc>
        <w:tc>
          <w:tcPr>
            <w:tcW w:w="1556" w:type="dxa"/>
            <w:vAlign w:val="center"/>
          </w:tcPr>
          <w:p w14:paraId="019DDFAE">
            <w:pPr>
              <w:widowControl/>
              <w:spacing w:line="240" w:lineRule="auto"/>
              <w:ind w:left="20"/>
              <w:jc w:val="center"/>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w:t>
            </w:r>
          </w:p>
        </w:tc>
      </w:tr>
      <w:tr w14:paraId="2F3131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Align w:val="center"/>
          </w:tcPr>
          <w:p w14:paraId="4CEA5CAB">
            <w:pPr>
              <w:widowControl/>
              <w:spacing w:line="240" w:lineRule="auto"/>
              <w:jc w:val="center"/>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修脚工具</w:t>
            </w:r>
          </w:p>
        </w:tc>
        <w:tc>
          <w:tcPr>
            <w:tcW w:w="1556" w:type="dxa"/>
            <w:vAlign w:val="center"/>
          </w:tcPr>
          <w:p w14:paraId="3E1FE8CF">
            <w:pPr>
              <w:widowControl/>
              <w:spacing w:line="240" w:lineRule="auto"/>
              <w:jc w:val="left"/>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表面清洁、无异味</w:t>
            </w:r>
          </w:p>
        </w:tc>
        <w:tc>
          <w:tcPr>
            <w:tcW w:w="1555" w:type="dxa"/>
            <w:vAlign w:val="center"/>
          </w:tcPr>
          <w:p w14:paraId="4200F34A">
            <w:pPr>
              <w:widowControl/>
              <w:spacing w:line="240" w:lineRule="auto"/>
              <w:jc w:val="center"/>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 xml:space="preserve">≤200 </w:t>
            </w:r>
            <w:r>
              <w:rPr>
                <w:rFonts w:ascii="宋体" w:hAnsi="宋体"/>
                <w:color w:val="000000" w:themeColor="text1"/>
                <w:kern w:val="0"/>
                <w:sz w:val="18"/>
                <w:szCs w:val="18"/>
                <w:lang w:bidi="ar"/>
                <w14:textFill>
                  <w14:solidFill>
                    <w14:schemeClr w14:val="tx1"/>
                  </w14:solidFill>
                </w14:textFill>
              </w:rPr>
              <w:t>CFU</w:t>
            </w:r>
            <w:r>
              <w:rPr>
                <w:rFonts w:ascii="宋体" w:hAnsi="宋体"/>
                <w:color w:val="000000" w:themeColor="text1"/>
                <w:kern w:val="0"/>
                <w:sz w:val="18"/>
                <w:szCs w:val="22"/>
                <w:lang w:bidi="ar"/>
                <w14:textFill>
                  <w14:solidFill>
                    <w14:schemeClr w14:val="tx1"/>
                  </w14:solidFill>
                </w14:textFill>
              </w:rPr>
              <w:t xml:space="preserve">/25 </w:t>
            </w:r>
            <w:r>
              <w:rPr>
                <w:rFonts w:ascii="宋体" w:hAnsi="宋体"/>
                <w:color w:val="000000" w:themeColor="text1"/>
                <w:kern w:val="0"/>
                <w:sz w:val="18"/>
                <w:szCs w:val="18"/>
                <w:lang w:bidi="ar"/>
                <w14:textFill>
                  <w14:solidFill>
                    <w14:schemeClr w14:val="tx1"/>
                  </w14:solidFill>
                </w14:textFill>
              </w:rPr>
              <w:t>cm</w:t>
            </w:r>
            <w:r>
              <w:rPr>
                <w:rFonts w:ascii="宋体" w:hAnsi="宋体"/>
                <w:color w:val="000000" w:themeColor="text1"/>
                <w:kern w:val="0"/>
                <w:sz w:val="18"/>
                <w:szCs w:val="15"/>
                <w:vertAlign w:val="superscript"/>
                <w:lang w:bidi="ar"/>
                <w14:textFill>
                  <w14:solidFill>
                    <w14:schemeClr w14:val="tx1"/>
                  </w14:solidFill>
                </w14:textFill>
              </w:rPr>
              <w:t>2</w:t>
            </w:r>
          </w:p>
        </w:tc>
        <w:tc>
          <w:tcPr>
            <w:tcW w:w="1555" w:type="dxa"/>
            <w:vAlign w:val="center"/>
          </w:tcPr>
          <w:p w14:paraId="3820B844">
            <w:pPr>
              <w:widowControl/>
              <w:spacing w:line="240" w:lineRule="auto"/>
              <w:ind w:left="180"/>
              <w:jc w:val="center"/>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不得检出</w:t>
            </w:r>
          </w:p>
        </w:tc>
        <w:tc>
          <w:tcPr>
            <w:tcW w:w="1556" w:type="dxa"/>
            <w:vAlign w:val="center"/>
          </w:tcPr>
          <w:p w14:paraId="77D7BEDD">
            <w:pPr>
              <w:widowControl/>
              <w:spacing w:line="240" w:lineRule="auto"/>
              <w:ind w:left="20"/>
              <w:jc w:val="center"/>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不得检出</w:t>
            </w:r>
          </w:p>
        </w:tc>
        <w:tc>
          <w:tcPr>
            <w:tcW w:w="1556" w:type="dxa"/>
            <w:vAlign w:val="center"/>
          </w:tcPr>
          <w:p w14:paraId="1B375E75">
            <w:pPr>
              <w:widowControl/>
              <w:spacing w:line="240" w:lineRule="auto"/>
              <w:jc w:val="center"/>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 xml:space="preserve">≤50 </w:t>
            </w:r>
            <w:r>
              <w:rPr>
                <w:rFonts w:ascii="宋体" w:hAnsi="宋体"/>
                <w:color w:val="000000" w:themeColor="text1"/>
                <w:kern w:val="0"/>
                <w:sz w:val="18"/>
                <w:szCs w:val="18"/>
                <w:lang w:bidi="ar"/>
                <w14:textFill>
                  <w14:solidFill>
                    <w14:schemeClr w14:val="tx1"/>
                  </w14:solidFill>
                </w14:textFill>
              </w:rPr>
              <w:t>CFU</w:t>
            </w:r>
            <w:r>
              <w:rPr>
                <w:rFonts w:ascii="宋体" w:hAnsi="宋体"/>
                <w:color w:val="000000" w:themeColor="text1"/>
                <w:kern w:val="0"/>
                <w:sz w:val="18"/>
                <w:szCs w:val="22"/>
                <w:lang w:bidi="ar"/>
                <w14:textFill>
                  <w14:solidFill>
                    <w14:schemeClr w14:val="tx1"/>
                  </w14:solidFill>
                </w14:textFill>
              </w:rPr>
              <w:t xml:space="preserve">/50 </w:t>
            </w:r>
            <w:r>
              <w:rPr>
                <w:rFonts w:ascii="宋体" w:hAnsi="宋体"/>
                <w:color w:val="000000" w:themeColor="text1"/>
                <w:kern w:val="0"/>
                <w:sz w:val="18"/>
                <w:szCs w:val="18"/>
                <w:lang w:bidi="ar"/>
                <w14:textFill>
                  <w14:solidFill>
                    <w14:schemeClr w14:val="tx1"/>
                  </w14:solidFill>
                </w14:textFill>
              </w:rPr>
              <w:t>cm</w:t>
            </w:r>
            <w:r>
              <w:rPr>
                <w:rFonts w:ascii="宋体" w:hAnsi="宋体"/>
                <w:color w:val="000000" w:themeColor="text1"/>
                <w:kern w:val="0"/>
                <w:sz w:val="18"/>
                <w:szCs w:val="15"/>
                <w:vertAlign w:val="superscript"/>
                <w:lang w:bidi="ar"/>
                <w14:textFill>
                  <w14:solidFill>
                    <w14:schemeClr w14:val="tx1"/>
                  </w14:solidFill>
                </w14:textFill>
              </w:rPr>
              <w:t>2</w:t>
            </w:r>
          </w:p>
        </w:tc>
      </w:tr>
      <w:tr w14:paraId="382BDD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Align w:val="center"/>
          </w:tcPr>
          <w:p w14:paraId="204D69AF">
            <w:pPr>
              <w:widowControl/>
              <w:spacing w:line="240" w:lineRule="auto"/>
              <w:jc w:val="center"/>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其他用品用具</w:t>
            </w:r>
          </w:p>
        </w:tc>
        <w:tc>
          <w:tcPr>
            <w:tcW w:w="1556" w:type="dxa"/>
            <w:vAlign w:val="center"/>
          </w:tcPr>
          <w:p w14:paraId="00635B65">
            <w:pPr>
              <w:widowControl/>
              <w:spacing w:line="240" w:lineRule="auto"/>
              <w:jc w:val="left"/>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表面清洁、无污渍、无</w:t>
            </w:r>
          </w:p>
          <w:p w14:paraId="47672BCD">
            <w:pPr>
              <w:widowControl/>
              <w:spacing w:line="240" w:lineRule="auto"/>
              <w:jc w:val="left"/>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破损、无异味</w:t>
            </w:r>
          </w:p>
        </w:tc>
        <w:tc>
          <w:tcPr>
            <w:tcW w:w="1555" w:type="dxa"/>
            <w:vAlign w:val="center"/>
          </w:tcPr>
          <w:p w14:paraId="14DDB589">
            <w:pPr>
              <w:widowControl/>
              <w:spacing w:line="240" w:lineRule="auto"/>
              <w:jc w:val="center"/>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 xml:space="preserve">≤300 </w:t>
            </w:r>
            <w:r>
              <w:rPr>
                <w:rFonts w:ascii="宋体" w:hAnsi="宋体"/>
                <w:color w:val="000000" w:themeColor="text1"/>
                <w:kern w:val="0"/>
                <w:sz w:val="18"/>
                <w:szCs w:val="18"/>
                <w:lang w:bidi="ar"/>
                <w14:textFill>
                  <w14:solidFill>
                    <w14:schemeClr w14:val="tx1"/>
                  </w14:solidFill>
                </w14:textFill>
              </w:rPr>
              <w:t>CFU</w:t>
            </w:r>
            <w:r>
              <w:rPr>
                <w:rFonts w:ascii="宋体" w:hAnsi="宋体"/>
                <w:color w:val="000000" w:themeColor="text1"/>
                <w:kern w:val="0"/>
                <w:sz w:val="18"/>
                <w:szCs w:val="22"/>
                <w:lang w:bidi="ar"/>
                <w14:textFill>
                  <w14:solidFill>
                    <w14:schemeClr w14:val="tx1"/>
                  </w14:solidFill>
                </w14:textFill>
              </w:rPr>
              <w:t xml:space="preserve">/25 </w:t>
            </w:r>
            <w:r>
              <w:rPr>
                <w:rFonts w:ascii="宋体" w:hAnsi="宋体"/>
                <w:color w:val="000000" w:themeColor="text1"/>
                <w:kern w:val="0"/>
                <w:sz w:val="18"/>
                <w:szCs w:val="18"/>
                <w:lang w:bidi="ar"/>
                <w14:textFill>
                  <w14:solidFill>
                    <w14:schemeClr w14:val="tx1"/>
                  </w14:solidFill>
                </w14:textFill>
              </w:rPr>
              <w:t>cm</w:t>
            </w:r>
            <w:r>
              <w:rPr>
                <w:rFonts w:ascii="宋体" w:hAnsi="宋体"/>
                <w:color w:val="000000" w:themeColor="text1"/>
                <w:kern w:val="0"/>
                <w:sz w:val="18"/>
                <w:szCs w:val="15"/>
                <w:vertAlign w:val="superscript"/>
                <w:lang w:bidi="ar"/>
                <w14:textFill>
                  <w14:solidFill>
                    <w14:schemeClr w14:val="tx1"/>
                  </w14:solidFill>
                </w14:textFill>
              </w:rPr>
              <w:t>2</w:t>
            </w:r>
          </w:p>
        </w:tc>
        <w:tc>
          <w:tcPr>
            <w:tcW w:w="1555" w:type="dxa"/>
            <w:vAlign w:val="center"/>
          </w:tcPr>
          <w:p w14:paraId="5CD89E19">
            <w:pPr>
              <w:widowControl/>
              <w:spacing w:line="240" w:lineRule="auto"/>
              <w:ind w:left="180"/>
              <w:jc w:val="center"/>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不得检出</w:t>
            </w:r>
          </w:p>
        </w:tc>
        <w:tc>
          <w:tcPr>
            <w:tcW w:w="1556" w:type="dxa"/>
            <w:vAlign w:val="center"/>
          </w:tcPr>
          <w:p w14:paraId="6C82FF0A">
            <w:pPr>
              <w:widowControl/>
              <w:spacing w:line="240" w:lineRule="auto"/>
              <w:ind w:left="20"/>
              <w:jc w:val="center"/>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w:t>
            </w:r>
          </w:p>
        </w:tc>
        <w:tc>
          <w:tcPr>
            <w:tcW w:w="1556" w:type="dxa"/>
            <w:vAlign w:val="center"/>
          </w:tcPr>
          <w:p w14:paraId="0C66EC03">
            <w:pPr>
              <w:widowControl/>
              <w:spacing w:line="240" w:lineRule="auto"/>
              <w:ind w:left="20"/>
              <w:jc w:val="center"/>
              <w:rPr>
                <w:rFonts w:hint="eastAsia" w:ascii="宋体" w:hAnsi="宋体"/>
                <w:color w:val="000000" w:themeColor="text1"/>
                <w:kern w:val="0"/>
                <w:sz w:val="18"/>
                <w:szCs w:val="23"/>
                <w14:textFill>
                  <w14:solidFill>
                    <w14:schemeClr w14:val="tx1"/>
                  </w14:solidFill>
                </w14:textFill>
              </w:rPr>
            </w:pPr>
            <w:r>
              <w:rPr>
                <w:rFonts w:ascii="宋体" w:hAnsi="宋体"/>
                <w:color w:val="000000" w:themeColor="text1"/>
                <w:kern w:val="0"/>
                <w:sz w:val="18"/>
                <w:szCs w:val="22"/>
                <w:lang w:bidi="ar"/>
                <w14:textFill>
                  <w14:solidFill>
                    <w14:schemeClr w14:val="tx1"/>
                  </w14:solidFill>
                </w14:textFill>
              </w:rPr>
              <w:t>—</w:t>
            </w:r>
          </w:p>
        </w:tc>
      </w:tr>
      <w:tr w14:paraId="2F33A8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6"/>
            <w:vAlign w:val="center"/>
          </w:tcPr>
          <w:p w14:paraId="528D7A0D">
            <w:pPr>
              <w:spacing w:line="240" w:lineRule="auto"/>
              <w:rPr>
                <w:rFonts w:hint="eastAsia" w:ascii="宋体" w:hAnsi="宋体"/>
                <w:color w:val="000000" w:themeColor="text1"/>
                <w:sz w:val="18"/>
                <w14:textFill>
                  <w14:solidFill>
                    <w14:schemeClr w14:val="tx1"/>
                  </w14:solidFill>
                </w14:textFill>
              </w:rPr>
            </w:pPr>
            <w:r>
              <w:rPr>
                <w:rFonts w:ascii="宋体" w:hAnsi="宋体"/>
                <w:color w:val="000000" w:themeColor="text1"/>
                <w:sz w:val="18"/>
                <w:szCs w:val="18"/>
                <w:vertAlign w:val="superscript"/>
                <w14:textFill>
                  <w14:solidFill>
                    <w14:schemeClr w14:val="tx1"/>
                  </w14:solidFill>
                </w14:textFill>
              </w:rPr>
              <w:t>a</w:t>
            </w:r>
            <w:r>
              <w:rPr>
                <w:rFonts w:hint="eastAsia" w:ascii="宋体" w:hAnsi="宋体"/>
                <w:color w:val="000000" w:themeColor="text1"/>
                <w:sz w:val="18"/>
                <w:szCs w:val="18"/>
                <w:vertAlign w:val="superscript"/>
                <w14:textFill>
                  <w14:solidFill>
                    <w14:schemeClr w14:val="tx1"/>
                  </w14:solidFill>
                </w14:textFill>
              </w:rPr>
              <w:t xml:space="preserve"> </w:t>
            </w:r>
            <w:r>
              <w:rPr>
                <w:rFonts w:hint="eastAsia" w:ascii="宋体" w:hAnsi="宋体"/>
                <w:color w:val="000000" w:themeColor="text1"/>
                <w:sz w:val="18"/>
                <w:szCs w:val="18"/>
                <w14:textFill>
                  <w14:solidFill>
                    <w14:schemeClr w14:val="tx1"/>
                  </w14:solidFill>
                </w14:textFill>
              </w:rPr>
              <w:t>采集</w:t>
            </w:r>
            <w:r>
              <w:rPr>
                <w:rFonts w:ascii="宋体" w:hAnsi="宋体"/>
                <w:color w:val="000000" w:themeColor="text1"/>
                <w:sz w:val="18"/>
                <w:szCs w:val="18"/>
                <w14:textFill>
                  <w14:solidFill>
                    <w14:schemeClr w14:val="tx1"/>
                  </w14:solidFill>
                </w14:textFill>
              </w:rPr>
              <w:t>3</w:t>
            </w:r>
            <w:r>
              <w:rPr>
                <w:rFonts w:hint="eastAsia" w:ascii="宋体" w:hAnsi="宋体"/>
                <w:color w:val="000000" w:themeColor="text1"/>
                <w:sz w:val="18"/>
                <w:szCs w:val="18"/>
                <w14:textFill>
                  <w14:solidFill>
                    <w14:schemeClr w14:val="tx1"/>
                  </w14:solidFill>
                </w14:textFill>
              </w:rPr>
              <w:t>份样品的</w:t>
            </w:r>
            <w:r>
              <w:rPr>
                <w:rFonts w:ascii="宋体" w:hAnsi="宋体"/>
                <w:color w:val="000000" w:themeColor="text1"/>
                <w:sz w:val="18"/>
                <w:szCs w:val="18"/>
                <w14:textFill>
                  <w14:solidFill>
                    <w14:schemeClr w14:val="tx1"/>
                  </w14:solidFill>
                </w14:textFill>
              </w:rPr>
              <w:t>公共用品用具</w:t>
            </w:r>
            <w:r>
              <w:rPr>
                <w:rFonts w:hint="eastAsia" w:ascii="宋体" w:hAnsi="宋体"/>
                <w:color w:val="000000" w:themeColor="text1"/>
                <w:sz w:val="18"/>
                <w:szCs w:val="18"/>
                <w14:textFill>
                  <w14:solidFill>
                    <w14:schemeClr w14:val="tx1"/>
                  </w14:solidFill>
                </w14:textFill>
              </w:rPr>
              <w:t>，检测结果均满足限值要求判为合格。</w:t>
            </w:r>
          </w:p>
        </w:tc>
      </w:tr>
    </w:tbl>
    <w:p w14:paraId="1D4B4637">
      <w:pPr>
        <w:pStyle w:val="105"/>
        <w:spacing w:before="156" w:after="156"/>
      </w:pPr>
      <w:r>
        <w:rPr>
          <w:rFonts w:hint="eastAsia"/>
        </w:rPr>
        <w:t>高频接触物体表面</w:t>
      </w:r>
    </w:p>
    <w:p w14:paraId="246EBF49">
      <w:pPr>
        <w:pStyle w:val="56"/>
        <w:ind w:firstLine="420"/>
      </w:pPr>
      <w:r>
        <w:rPr>
          <w:rFonts w:hint="eastAsia"/>
        </w:rPr>
        <w:t>高频接触物体表面应清洁、无污渍、无异味。</w:t>
      </w:r>
    </w:p>
    <w:p w14:paraId="111FFF55">
      <w:pPr>
        <w:pStyle w:val="104"/>
        <w:spacing w:before="312" w:after="312"/>
      </w:pPr>
      <w:r>
        <w:rPr>
          <w:rFonts w:hint="eastAsia"/>
        </w:rPr>
        <w:t>检验方法</w:t>
      </w:r>
    </w:p>
    <w:p w14:paraId="6C2732FA">
      <w:pPr>
        <w:pStyle w:val="56"/>
        <w:ind w:firstLine="420"/>
      </w:pPr>
      <w:r>
        <w:rPr>
          <w:rFonts w:hint="eastAsia"/>
        </w:rPr>
        <w:t>室内空气质量、集中空调通风系统、物理因素、公共用品用具指标检验按GB/T 18204执行；硫磺泉温泉场所室内空气中硫化氢浓度的检验按GB/T 11742执行；氡的检验按GB/T 18883执行；棉织品pH值的检测按GB/T 7573执行。</w:t>
      </w:r>
    </w:p>
    <w:p w14:paraId="5CB1A4EB">
      <w:pPr>
        <w:pStyle w:val="56"/>
        <w:ind w:firstLine="420"/>
      </w:pPr>
      <w:r>
        <w:rPr>
          <w:rFonts w:hint="eastAsia"/>
        </w:rPr>
        <w:t>游泳池水温度、尿素、氧化还原电位、透明度和沐浴用水中嗜肺军团菌的检验按GB/T 18204执行；游泳池水氰尿酸的检测按CJ/T 244执行；游泳池水漂浮物质的检验按GB/T 5750中肉眼可见物执行；游泳池水、沐浴用水水质其他指标和生活饮用水指标检验按GB/T 5750执行。</w:t>
      </w:r>
    </w:p>
    <w:p w14:paraId="643D1BE3">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0"/>
    <w:p w14:paraId="3BE40F7C">
      <w:pPr>
        <w:pStyle w:val="198"/>
        <w:rPr>
          <w:rFonts w:hint="eastAsia"/>
          <w:vanish w:val="0"/>
        </w:rPr>
      </w:pPr>
      <w:bookmarkStart w:id="47" w:name="BookMark5"/>
    </w:p>
    <w:p w14:paraId="1EDB1FBD">
      <w:pPr>
        <w:pStyle w:val="199"/>
        <w:rPr>
          <w:vanish w:val="0"/>
        </w:rPr>
      </w:pPr>
    </w:p>
    <w:p w14:paraId="310BED7C">
      <w:pPr>
        <w:pStyle w:val="76"/>
        <w:spacing w:after="156"/>
      </w:pPr>
      <w:r>
        <w:br w:type="textWrapping"/>
      </w:r>
      <w:r>
        <w:rPr>
          <w:rFonts w:hint="eastAsia"/>
        </w:rPr>
        <w:t>（资料性）</w:t>
      </w:r>
      <w:r>
        <w:br w:type="textWrapping"/>
      </w:r>
      <w:r>
        <w:rPr>
          <w:rFonts w:hint="eastAsia"/>
        </w:rPr>
        <w:t>本标准适用范围内其他公共场所物理因素参考指标及限值</w:t>
      </w:r>
    </w:p>
    <w:p w14:paraId="729B4D56">
      <w:pPr>
        <w:pStyle w:val="56"/>
        <w:ind w:firstLine="420"/>
      </w:pPr>
      <w:r>
        <w:rPr>
          <w:rFonts w:hint="eastAsia"/>
        </w:rPr>
        <w:t>本标准适用范围内其他公共场所物理因素参考指标及限值见表A。</w:t>
      </w:r>
    </w:p>
    <w:p w14:paraId="1373DFE2">
      <w:pPr>
        <w:pStyle w:val="77"/>
        <w:numPr>
          <w:ilvl w:val="0"/>
          <w:numId w:val="0"/>
        </w:numPr>
        <w:spacing w:before="156" w:after="156"/>
        <w:ind w:left="420"/>
      </w:pPr>
      <w:r>
        <w:rPr>
          <w:rFonts w:hint="eastAsia"/>
        </w:rPr>
        <w:t>表A 本标准适用范围其他公共场所物理因素参考指标及限值</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850"/>
        <w:gridCol w:w="709"/>
        <w:gridCol w:w="1984"/>
        <w:gridCol w:w="1907"/>
        <w:gridCol w:w="2334"/>
      </w:tblGrid>
      <w:tr w14:paraId="7F1E3A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tcBorders>
              <w:top w:val="single" w:color="auto" w:sz="8" w:space="0"/>
              <w:bottom w:val="single" w:color="auto" w:sz="8" w:space="0"/>
            </w:tcBorders>
            <w:vAlign w:val="center"/>
          </w:tcPr>
          <w:p w14:paraId="21BACD60">
            <w:pPr>
              <w:pStyle w:val="178"/>
              <w:rPr>
                <w:rFonts w:hint="eastAsia" w:hAnsi="宋体"/>
                <w:color w:val="000000" w:themeColor="text1"/>
                <w:szCs w:val="18"/>
                <w14:textFill>
                  <w14:solidFill>
                    <w14:schemeClr w14:val="tx1"/>
                  </w14:solidFill>
                </w14:textFill>
              </w:rPr>
            </w:pPr>
            <w:r>
              <w:rPr>
                <w:rFonts w:hAnsi="宋体"/>
                <w:color w:val="000000" w:themeColor="text1"/>
                <w:szCs w:val="18"/>
                <w14:textFill>
                  <w14:solidFill>
                    <w14:schemeClr w14:val="tx1"/>
                  </w14:solidFill>
                </w14:textFill>
              </w:rPr>
              <w:t>指标</w:t>
            </w:r>
          </w:p>
        </w:tc>
        <w:tc>
          <w:tcPr>
            <w:tcW w:w="3543" w:type="dxa"/>
            <w:gridSpan w:val="3"/>
            <w:tcBorders>
              <w:top w:val="single" w:color="auto" w:sz="8" w:space="0"/>
              <w:bottom w:val="single" w:color="auto" w:sz="8" w:space="0"/>
            </w:tcBorders>
            <w:vAlign w:val="center"/>
          </w:tcPr>
          <w:p w14:paraId="0E1EE12C">
            <w:pPr>
              <w:pStyle w:val="178"/>
              <w:rPr>
                <w:rFonts w:hint="eastAsia" w:hAnsi="宋体"/>
                <w:color w:val="000000" w:themeColor="text1"/>
                <w:szCs w:val="18"/>
                <w14:textFill>
                  <w14:solidFill>
                    <w14:schemeClr w14:val="tx1"/>
                  </w14:solidFill>
                </w14:textFill>
              </w:rPr>
            </w:pPr>
            <w:r>
              <w:rPr>
                <w:rFonts w:hAnsi="宋体"/>
                <w:color w:val="000000" w:themeColor="text1"/>
                <w:szCs w:val="18"/>
                <w14:textFill>
                  <w14:solidFill>
                    <w14:schemeClr w14:val="tx1"/>
                  </w14:solidFill>
                </w14:textFill>
              </w:rPr>
              <w:t>场所类别</w:t>
            </w:r>
          </w:p>
        </w:tc>
        <w:tc>
          <w:tcPr>
            <w:tcW w:w="1907" w:type="dxa"/>
            <w:tcBorders>
              <w:top w:val="single" w:color="auto" w:sz="8" w:space="0"/>
              <w:bottom w:val="single" w:color="auto" w:sz="8" w:space="0"/>
            </w:tcBorders>
            <w:vAlign w:val="center"/>
          </w:tcPr>
          <w:p w14:paraId="0793FEF6">
            <w:pPr>
              <w:pStyle w:val="178"/>
              <w:rPr>
                <w:rFonts w:hint="eastAsia" w:hAnsi="宋体"/>
                <w:color w:val="000000" w:themeColor="text1"/>
                <w:szCs w:val="18"/>
                <w14:textFill>
                  <w14:solidFill>
                    <w14:schemeClr w14:val="tx1"/>
                  </w14:solidFill>
                </w14:textFill>
              </w:rPr>
            </w:pPr>
            <w:r>
              <w:rPr>
                <w:rFonts w:hAnsi="宋体"/>
                <w:color w:val="000000" w:themeColor="text1"/>
                <w:szCs w:val="18"/>
                <w14:textFill>
                  <w14:solidFill>
                    <w14:schemeClr w14:val="tx1"/>
                  </w14:solidFill>
                </w14:textFill>
              </w:rPr>
              <w:t>要求</w:t>
            </w:r>
          </w:p>
        </w:tc>
        <w:tc>
          <w:tcPr>
            <w:tcW w:w="2334" w:type="dxa"/>
            <w:tcBorders>
              <w:top w:val="single" w:color="auto" w:sz="8" w:space="0"/>
              <w:bottom w:val="single" w:color="auto" w:sz="8" w:space="0"/>
            </w:tcBorders>
            <w:vAlign w:val="center"/>
          </w:tcPr>
          <w:p w14:paraId="64FD928B">
            <w:pPr>
              <w:pStyle w:val="178"/>
              <w:rPr>
                <w:rFonts w:hint="eastAsia" w:hAnsi="宋体"/>
                <w:color w:val="000000" w:themeColor="text1"/>
                <w:szCs w:val="18"/>
                <w14:textFill>
                  <w14:solidFill>
                    <w14:schemeClr w14:val="tx1"/>
                  </w14:solidFill>
                </w14:textFill>
              </w:rPr>
            </w:pPr>
            <w:r>
              <w:rPr>
                <w:rFonts w:hAnsi="宋体"/>
                <w:color w:val="000000" w:themeColor="text1"/>
                <w:szCs w:val="18"/>
                <w14:textFill>
                  <w14:solidFill>
                    <w14:schemeClr w14:val="tx1"/>
                  </w14:solidFill>
                </w14:textFill>
              </w:rPr>
              <w:t>备注</w:t>
            </w:r>
          </w:p>
        </w:tc>
      </w:tr>
      <w:tr w14:paraId="5D7AC7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Merge w:val="restart"/>
            <w:tcBorders>
              <w:top w:val="single" w:color="auto" w:sz="8" w:space="0"/>
            </w:tcBorders>
            <w:vAlign w:val="center"/>
          </w:tcPr>
          <w:p w14:paraId="10A22E99">
            <w:pPr>
              <w:pStyle w:val="178"/>
              <w:rPr>
                <w:rFonts w:hint="eastAsia" w:hAnsi="宋体"/>
                <w:szCs w:val="18"/>
              </w:rPr>
            </w:pPr>
            <w:r>
              <w:rPr>
                <w:rFonts w:hAnsi="宋体"/>
                <w:color w:val="000000" w:themeColor="text1"/>
                <w:szCs w:val="18"/>
                <w:lang w:bidi="ar"/>
                <w14:textFill>
                  <w14:solidFill>
                    <w14:schemeClr w14:val="tx1"/>
                  </w14:solidFill>
                </w14:textFill>
              </w:rPr>
              <w:t>室内温度（℃）</w:t>
            </w:r>
          </w:p>
        </w:tc>
        <w:tc>
          <w:tcPr>
            <w:tcW w:w="3543" w:type="dxa"/>
            <w:gridSpan w:val="3"/>
            <w:tcBorders>
              <w:top w:val="single" w:color="auto" w:sz="8" w:space="0"/>
            </w:tcBorders>
            <w:vAlign w:val="center"/>
          </w:tcPr>
          <w:p w14:paraId="3A9CB294">
            <w:pPr>
              <w:widowControl/>
              <w:spacing w:line="240" w:lineRule="auto"/>
              <w:jc w:val="left"/>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本标准适用范围内的公共场所</w:t>
            </w:r>
          </w:p>
        </w:tc>
        <w:tc>
          <w:tcPr>
            <w:tcW w:w="1907" w:type="dxa"/>
            <w:tcBorders>
              <w:top w:val="single" w:color="auto" w:sz="8" w:space="0"/>
            </w:tcBorders>
            <w:vAlign w:val="center"/>
          </w:tcPr>
          <w:p w14:paraId="319AE3F3">
            <w:pPr>
              <w:widowControl/>
              <w:jc w:val="center"/>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24</w:t>
            </w:r>
            <w:r>
              <w:rPr>
                <w:rFonts w:hint="eastAsia" w:ascii="宋体" w:hAnsi="宋体"/>
                <w:color w:val="000000" w:themeColor="text1"/>
                <w:kern w:val="0"/>
                <w:sz w:val="18"/>
                <w:szCs w:val="18"/>
                <w:lang w:bidi="ar"/>
                <w14:textFill>
                  <w14:solidFill>
                    <w14:schemeClr w14:val="tx1"/>
                  </w14:solidFill>
                </w14:textFill>
              </w:rPr>
              <w:t>～</w:t>
            </w:r>
            <w:r>
              <w:rPr>
                <w:rFonts w:ascii="宋体" w:hAnsi="宋体"/>
                <w:color w:val="000000" w:themeColor="text1"/>
                <w:kern w:val="0"/>
                <w:sz w:val="18"/>
                <w:szCs w:val="18"/>
                <w:lang w:bidi="ar"/>
                <w14:textFill>
                  <w14:solidFill>
                    <w14:schemeClr w14:val="tx1"/>
                  </w14:solidFill>
                </w14:textFill>
              </w:rPr>
              <w:t>28</w:t>
            </w:r>
          </w:p>
        </w:tc>
        <w:tc>
          <w:tcPr>
            <w:tcW w:w="2334" w:type="dxa"/>
            <w:tcBorders>
              <w:top w:val="single" w:color="auto" w:sz="8" w:space="0"/>
            </w:tcBorders>
            <w:vAlign w:val="center"/>
          </w:tcPr>
          <w:p w14:paraId="57D536BB">
            <w:pPr>
              <w:widowControl/>
              <w:jc w:val="left"/>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夏季采用空调等调温方式</w:t>
            </w:r>
          </w:p>
        </w:tc>
      </w:tr>
      <w:tr w14:paraId="6A8048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Merge w:val="continue"/>
            <w:vAlign w:val="center"/>
          </w:tcPr>
          <w:p w14:paraId="0A0C8FAF">
            <w:pPr>
              <w:pStyle w:val="178"/>
              <w:rPr>
                <w:rFonts w:hint="eastAsia" w:hAnsi="宋体"/>
                <w:szCs w:val="18"/>
              </w:rPr>
            </w:pPr>
          </w:p>
        </w:tc>
        <w:tc>
          <w:tcPr>
            <w:tcW w:w="850" w:type="dxa"/>
            <w:vMerge w:val="restart"/>
            <w:vAlign w:val="center"/>
          </w:tcPr>
          <w:p w14:paraId="3AD0EA7C">
            <w:pPr>
              <w:pStyle w:val="178"/>
              <w:rPr>
                <w:rFonts w:hint="eastAsia" w:hAnsi="宋体"/>
                <w:szCs w:val="18"/>
              </w:rPr>
            </w:pPr>
            <w:r>
              <w:rPr>
                <w:rFonts w:hint="eastAsia" w:hAnsi="宋体"/>
                <w:szCs w:val="18"/>
              </w:rPr>
              <w:t>公共浴室</w:t>
            </w:r>
          </w:p>
        </w:tc>
        <w:tc>
          <w:tcPr>
            <w:tcW w:w="2693" w:type="dxa"/>
            <w:gridSpan w:val="2"/>
            <w:vAlign w:val="center"/>
          </w:tcPr>
          <w:p w14:paraId="5C3B7E3F">
            <w:pPr>
              <w:pStyle w:val="178"/>
              <w:rPr>
                <w:rFonts w:hint="eastAsia" w:hAnsi="宋体"/>
                <w:szCs w:val="18"/>
              </w:rPr>
            </w:pPr>
            <w:r>
              <w:rPr>
                <w:rFonts w:hAnsi="宋体"/>
                <w:color w:val="000000" w:themeColor="text1"/>
                <w:szCs w:val="18"/>
                <w14:textFill>
                  <w14:solidFill>
                    <w14:schemeClr w14:val="tx1"/>
                  </w14:solidFill>
                </w14:textFill>
              </w:rPr>
              <w:t>更衣室、休息室</w:t>
            </w:r>
          </w:p>
        </w:tc>
        <w:tc>
          <w:tcPr>
            <w:tcW w:w="1907" w:type="dxa"/>
            <w:vAlign w:val="center"/>
          </w:tcPr>
          <w:p w14:paraId="4917CD06">
            <w:pPr>
              <w:pStyle w:val="162"/>
              <w:numPr>
                <w:ilvl w:val="2"/>
                <w:numId w:val="0"/>
              </w:numPr>
              <w:jc w:val="center"/>
              <w:rPr>
                <w:rFonts w:hint="eastAsia" w:hAnsi="宋体"/>
                <w:color w:val="000000" w:themeColor="text1"/>
                <w:sz w:val="18"/>
                <w:szCs w:val="18"/>
                <w:lang w:bidi="ar"/>
                <w14:textFill>
                  <w14:solidFill>
                    <w14:schemeClr w14:val="tx1"/>
                  </w14:solidFill>
                </w14:textFill>
              </w:rPr>
            </w:pPr>
            <w:r>
              <w:rPr>
                <w:rFonts w:hint="eastAsia" w:hAnsi="宋体"/>
                <w:color w:val="000000" w:themeColor="text1"/>
                <w:sz w:val="18"/>
                <w:szCs w:val="18"/>
                <w14:textFill>
                  <w14:solidFill>
                    <w14:schemeClr w14:val="tx1"/>
                  </w14:solidFill>
                </w14:textFill>
              </w:rPr>
              <w:t>≥25</w:t>
            </w:r>
          </w:p>
        </w:tc>
        <w:tc>
          <w:tcPr>
            <w:tcW w:w="2334" w:type="dxa"/>
            <w:vMerge w:val="restart"/>
            <w:vAlign w:val="center"/>
          </w:tcPr>
          <w:p w14:paraId="1DA8FDC3">
            <w:pPr>
              <w:pStyle w:val="178"/>
              <w:rPr>
                <w:rFonts w:hint="eastAsia" w:hAnsi="宋体"/>
                <w:szCs w:val="18"/>
              </w:rPr>
            </w:pPr>
            <w:r>
              <w:rPr>
                <w:rFonts w:hAnsi="宋体"/>
                <w:color w:val="000000" w:themeColor="text1"/>
                <w:szCs w:val="18"/>
                <w:lang w:bidi="ar"/>
                <w14:textFill>
                  <w14:solidFill>
                    <w14:schemeClr w14:val="tx1"/>
                  </w14:solidFill>
                </w14:textFill>
              </w:rPr>
              <w:t>冬季</w:t>
            </w:r>
          </w:p>
        </w:tc>
      </w:tr>
      <w:tr w14:paraId="332FF5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Merge w:val="continue"/>
            <w:vAlign w:val="center"/>
          </w:tcPr>
          <w:p w14:paraId="6AEE0649">
            <w:pPr>
              <w:pStyle w:val="178"/>
              <w:rPr>
                <w:rFonts w:hint="eastAsia" w:hAnsi="宋体"/>
                <w:szCs w:val="18"/>
              </w:rPr>
            </w:pPr>
          </w:p>
        </w:tc>
        <w:tc>
          <w:tcPr>
            <w:tcW w:w="850" w:type="dxa"/>
            <w:vMerge w:val="continue"/>
            <w:vAlign w:val="center"/>
          </w:tcPr>
          <w:p w14:paraId="02ECF2D3">
            <w:pPr>
              <w:pStyle w:val="178"/>
              <w:rPr>
                <w:rFonts w:hint="eastAsia" w:hAnsi="宋体"/>
                <w:szCs w:val="18"/>
              </w:rPr>
            </w:pPr>
          </w:p>
        </w:tc>
        <w:tc>
          <w:tcPr>
            <w:tcW w:w="709" w:type="dxa"/>
            <w:vMerge w:val="restart"/>
            <w:vAlign w:val="center"/>
          </w:tcPr>
          <w:p w14:paraId="52419617">
            <w:pPr>
              <w:pStyle w:val="178"/>
              <w:rPr>
                <w:rFonts w:hint="eastAsia" w:hAnsi="宋体"/>
                <w:szCs w:val="18"/>
              </w:rPr>
            </w:pPr>
            <w:r>
              <w:rPr>
                <w:rFonts w:hAnsi="宋体"/>
                <w:color w:val="000000" w:themeColor="text1"/>
                <w:szCs w:val="18"/>
                <w14:textFill>
                  <w14:solidFill>
                    <w14:schemeClr w14:val="tx1"/>
                  </w14:solidFill>
                </w14:textFill>
              </w:rPr>
              <w:t>浴室</w:t>
            </w:r>
          </w:p>
        </w:tc>
        <w:tc>
          <w:tcPr>
            <w:tcW w:w="1984" w:type="dxa"/>
            <w:vAlign w:val="center"/>
          </w:tcPr>
          <w:p w14:paraId="4509F9B5">
            <w:pPr>
              <w:pStyle w:val="162"/>
              <w:numPr>
                <w:ilvl w:val="2"/>
                <w:numId w:val="0"/>
              </w:numPr>
              <w:rPr>
                <w:rFonts w:hint="eastAsia" w:hAnsi="宋体"/>
                <w:color w:val="000000" w:themeColor="text1"/>
                <w:sz w:val="18"/>
                <w:szCs w:val="18"/>
                <w14:textFill>
                  <w14:solidFill>
                    <w14:schemeClr w14:val="tx1"/>
                  </w14:solidFill>
                </w14:textFill>
              </w:rPr>
            </w:pPr>
            <w:r>
              <w:rPr>
                <w:rFonts w:hAnsi="宋体"/>
                <w:color w:val="000000" w:themeColor="text1"/>
                <w:sz w:val="18"/>
                <w:szCs w:val="18"/>
                <w14:textFill>
                  <w14:solidFill>
                    <w14:schemeClr w14:val="tx1"/>
                  </w14:solidFill>
                </w14:textFill>
              </w:rPr>
              <w:t>普通浴室（淋、池、盆浴）</w:t>
            </w:r>
          </w:p>
        </w:tc>
        <w:tc>
          <w:tcPr>
            <w:tcW w:w="1907" w:type="dxa"/>
            <w:vAlign w:val="center"/>
          </w:tcPr>
          <w:p w14:paraId="09F7EBB6">
            <w:pPr>
              <w:pStyle w:val="162"/>
              <w:numPr>
                <w:ilvl w:val="2"/>
                <w:numId w:val="0"/>
              </w:numPr>
              <w:jc w:val="center"/>
              <w:rPr>
                <w:rFonts w:hint="eastAsia" w:hAnsi="宋体"/>
                <w:color w:val="000000" w:themeColor="text1"/>
                <w:sz w:val="18"/>
                <w:szCs w:val="18"/>
                <w14:textFill>
                  <w14:solidFill>
                    <w14:schemeClr w14:val="tx1"/>
                  </w14:solidFill>
                </w14:textFill>
              </w:rPr>
            </w:pPr>
            <w:r>
              <w:rPr>
                <w:rFonts w:hAnsi="宋体"/>
                <w:color w:val="000000" w:themeColor="text1"/>
                <w:sz w:val="18"/>
                <w:szCs w:val="18"/>
                <w14:textFill>
                  <w14:solidFill>
                    <w14:schemeClr w14:val="tx1"/>
                  </w14:solidFill>
                </w14:textFill>
              </w:rPr>
              <w:t>30</w:t>
            </w:r>
            <w:r>
              <w:rPr>
                <w:rFonts w:hint="eastAsia" w:hAnsi="宋体"/>
                <w:color w:val="000000" w:themeColor="text1"/>
                <w:sz w:val="18"/>
                <w:szCs w:val="18"/>
                <w14:textFill>
                  <w14:solidFill>
                    <w14:schemeClr w14:val="tx1"/>
                  </w14:solidFill>
                </w14:textFill>
              </w:rPr>
              <w:t>～</w:t>
            </w:r>
            <w:r>
              <w:rPr>
                <w:rFonts w:hAnsi="宋体"/>
                <w:color w:val="000000" w:themeColor="text1"/>
                <w:sz w:val="18"/>
                <w:szCs w:val="18"/>
                <w14:textFill>
                  <w14:solidFill>
                    <w14:schemeClr w14:val="tx1"/>
                  </w14:solidFill>
                </w14:textFill>
              </w:rPr>
              <w:t>50</w:t>
            </w:r>
          </w:p>
        </w:tc>
        <w:tc>
          <w:tcPr>
            <w:tcW w:w="2334" w:type="dxa"/>
            <w:vMerge w:val="continue"/>
            <w:vAlign w:val="center"/>
          </w:tcPr>
          <w:p w14:paraId="1618660E">
            <w:pPr>
              <w:pStyle w:val="178"/>
              <w:rPr>
                <w:rFonts w:hint="eastAsia" w:hAnsi="宋体"/>
                <w:szCs w:val="18"/>
              </w:rPr>
            </w:pPr>
          </w:p>
        </w:tc>
      </w:tr>
      <w:tr w14:paraId="081168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Merge w:val="continue"/>
            <w:vAlign w:val="center"/>
          </w:tcPr>
          <w:p w14:paraId="54FAF154">
            <w:pPr>
              <w:pStyle w:val="178"/>
              <w:rPr>
                <w:rFonts w:hint="eastAsia" w:hAnsi="宋体"/>
                <w:szCs w:val="18"/>
              </w:rPr>
            </w:pPr>
          </w:p>
        </w:tc>
        <w:tc>
          <w:tcPr>
            <w:tcW w:w="850" w:type="dxa"/>
            <w:vMerge w:val="continue"/>
            <w:vAlign w:val="center"/>
          </w:tcPr>
          <w:p w14:paraId="6DEA5459">
            <w:pPr>
              <w:pStyle w:val="178"/>
              <w:rPr>
                <w:rFonts w:hint="eastAsia" w:hAnsi="宋体"/>
                <w:szCs w:val="18"/>
              </w:rPr>
            </w:pPr>
          </w:p>
        </w:tc>
        <w:tc>
          <w:tcPr>
            <w:tcW w:w="709" w:type="dxa"/>
            <w:vMerge w:val="continue"/>
            <w:vAlign w:val="center"/>
          </w:tcPr>
          <w:p w14:paraId="6278526D">
            <w:pPr>
              <w:pStyle w:val="178"/>
              <w:rPr>
                <w:rFonts w:hint="eastAsia" w:hAnsi="宋体"/>
                <w:szCs w:val="18"/>
              </w:rPr>
            </w:pPr>
          </w:p>
        </w:tc>
        <w:tc>
          <w:tcPr>
            <w:tcW w:w="1984" w:type="dxa"/>
            <w:vAlign w:val="center"/>
          </w:tcPr>
          <w:p w14:paraId="3370A03E">
            <w:pPr>
              <w:pStyle w:val="162"/>
              <w:numPr>
                <w:ilvl w:val="2"/>
                <w:numId w:val="0"/>
              </w:numPr>
              <w:rPr>
                <w:rFonts w:hint="eastAsia" w:hAnsi="宋体"/>
                <w:color w:val="000000" w:themeColor="text1"/>
                <w:sz w:val="18"/>
                <w:szCs w:val="18"/>
                <w14:textFill>
                  <w14:solidFill>
                    <w14:schemeClr w14:val="tx1"/>
                  </w14:solidFill>
                </w14:textFill>
              </w:rPr>
            </w:pPr>
            <w:r>
              <w:rPr>
                <w:rFonts w:hAnsi="宋体"/>
                <w:color w:val="000000" w:themeColor="text1"/>
                <w:sz w:val="18"/>
                <w:szCs w:val="18"/>
                <w14:textFill>
                  <w14:solidFill>
                    <w14:schemeClr w14:val="tx1"/>
                  </w14:solidFill>
                </w14:textFill>
              </w:rPr>
              <w:t>桑拿浴室</w:t>
            </w:r>
          </w:p>
        </w:tc>
        <w:tc>
          <w:tcPr>
            <w:tcW w:w="1907" w:type="dxa"/>
            <w:vAlign w:val="center"/>
          </w:tcPr>
          <w:p w14:paraId="2A4E8B71">
            <w:pPr>
              <w:pStyle w:val="162"/>
              <w:numPr>
                <w:ilvl w:val="2"/>
                <w:numId w:val="0"/>
              </w:numPr>
              <w:jc w:val="center"/>
              <w:rPr>
                <w:rFonts w:hint="eastAsia" w:hAnsi="宋体"/>
                <w:color w:val="000000" w:themeColor="text1"/>
                <w:sz w:val="18"/>
                <w:szCs w:val="18"/>
                <w14:textFill>
                  <w14:solidFill>
                    <w14:schemeClr w14:val="tx1"/>
                  </w14:solidFill>
                </w14:textFill>
              </w:rPr>
            </w:pPr>
            <w:r>
              <w:rPr>
                <w:rFonts w:hAnsi="宋体"/>
                <w:color w:val="000000" w:themeColor="text1"/>
                <w:sz w:val="18"/>
                <w:szCs w:val="18"/>
                <w14:textFill>
                  <w14:solidFill>
                    <w14:schemeClr w14:val="tx1"/>
                  </w14:solidFill>
                </w14:textFill>
              </w:rPr>
              <w:t>60</w:t>
            </w:r>
            <w:r>
              <w:rPr>
                <w:rFonts w:hint="eastAsia" w:hAnsi="宋体"/>
                <w:color w:val="000000" w:themeColor="text1"/>
                <w:sz w:val="18"/>
                <w:szCs w:val="18"/>
                <w14:textFill>
                  <w14:solidFill>
                    <w14:schemeClr w14:val="tx1"/>
                  </w14:solidFill>
                </w14:textFill>
              </w:rPr>
              <w:t>～</w:t>
            </w:r>
            <w:r>
              <w:rPr>
                <w:rFonts w:hAnsi="宋体"/>
                <w:color w:val="000000" w:themeColor="text1"/>
                <w:sz w:val="18"/>
                <w:szCs w:val="18"/>
                <w14:textFill>
                  <w14:solidFill>
                    <w14:schemeClr w14:val="tx1"/>
                  </w14:solidFill>
                </w14:textFill>
              </w:rPr>
              <w:t>80</w:t>
            </w:r>
          </w:p>
        </w:tc>
        <w:tc>
          <w:tcPr>
            <w:tcW w:w="2334" w:type="dxa"/>
            <w:vMerge w:val="continue"/>
            <w:vAlign w:val="center"/>
          </w:tcPr>
          <w:p w14:paraId="4D8DE757">
            <w:pPr>
              <w:pStyle w:val="178"/>
              <w:rPr>
                <w:rFonts w:hint="eastAsia" w:hAnsi="宋体"/>
                <w:szCs w:val="18"/>
              </w:rPr>
            </w:pPr>
          </w:p>
        </w:tc>
      </w:tr>
      <w:tr w14:paraId="28618C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Merge w:val="continue"/>
            <w:vAlign w:val="center"/>
          </w:tcPr>
          <w:p w14:paraId="7B1E3E95">
            <w:pPr>
              <w:pStyle w:val="178"/>
              <w:rPr>
                <w:rFonts w:hint="eastAsia" w:hAnsi="宋体"/>
                <w:szCs w:val="18"/>
              </w:rPr>
            </w:pPr>
          </w:p>
        </w:tc>
        <w:tc>
          <w:tcPr>
            <w:tcW w:w="3543" w:type="dxa"/>
            <w:gridSpan w:val="3"/>
            <w:vAlign w:val="center"/>
          </w:tcPr>
          <w:p w14:paraId="53C319F3">
            <w:pPr>
              <w:widowControl/>
              <w:spacing w:line="240" w:lineRule="auto"/>
              <w:jc w:val="left"/>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sz w:val="18"/>
                <w:szCs w:val="18"/>
                <w14:textFill>
                  <w14:solidFill>
                    <w14:schemeClr w14:val="tx1"/>
                  </w14:solidFill>
                </w14:textFill>
              </w:rPr>
              <w:t>游泳场（馆）</w:t>
            </w:r>
          </w:p>
        </w:tc>
        <w:tc>
          <w:tcPr>
            <w:tcW w:w="1907" w:type="dxa"/>
            <w:vAlign w:val="center"/>
          </w:tcPr>
          <w:p w14:paraId="48E50DC0">
            <w:pPr>
              <w:widowControl/>
              <w:jc w:val="center"/>
              <w:rPr>
                <w:rFonts w:hint="eastAsia" w:ascii="宋体" w:hAnsi="宋体"/>
                <w:color w:val="000000" w:themeColor="text1"/>
                <w:kern w:val="0"/>
                <w:sz w:val="18"/>
                <w:szCs w:val="18"/>
                <w:lang w:bidi="ar"/>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与池水温差不超过2℃</w:t>
            </w:r>
          </w:p>
        </w:tc>
        <w:tc>
          <w:tcPr>
            <w:tcW w:w="2334" w:type="dxa"/>
            <w:vAlign w:val="center"/>
          </w:tcPr>
          <w:p w14:paraId="56DE20BD">
            <w:pPr>
              <w:widowControl/>
              <w:spacing w:line="240" w:lineRule="auto"/>
              <w:jc w:val="center"/>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冬季</w:t>
            </w:r>
          </w:p>
        </w:tc>
      </w:tr>
      <w:tr w14:paraId="5368D6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Merge w:val="continue"/>
            <w:vAlign w:val="center"/>
          </w:tcPr>
          <w:p w14:paraId="4D279FAE">
            <w:pPr>
              <w:pStyle w:val="178"/>
              <w:rPr>
                <w:rFonts w:hint="eastAsia" w:hAnsi="宋体"/>
                <w:szCs w:val="18"/>
              </w:rPr>
            </w:pPr>
          </w:p>
        </w:tc>
        <w:tc>
          <w:tcPr>
            <w:tcW w:w="3543" w:type="dxa"/>
            <w:gridSpan w:val="3"/>
            <w:vAlign w:val="center"/>
          </w:tcPr>
          <w:p w14:paraId="01FB4635">
            <w:pPr>
              <w:widowControl/>
              <w:spacing w:line="240" w:lineRule="auto"/>
              <w:jc w:val="left"/>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其他公共场所</w:t>
            </w:r>
          </w:p>
        </w:tc>
        <w:tc>
          <w:tcPr>
            <w:tcW w:w="1907" w:type="dxa"/>
            <w:vAlign w:val="center"/>
          </w:tcPr>
          <w:p w14:paraId="13FE7BD0">
            <w:pPr>
              <w:widowControl/>
              <w:jc w:val="center"/>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18</w:t>
            </w:r>
            <w:r>
              <w:rPr>
                <w:rFonts w:hint="eastAsia" w:ascii="宋体" w:hAnsi="宋体"/>
                <w:color w:val="000000" w:themeColor="text1"/>
                <w:kern w:val="0"/>
                <w:sz w:val="18"/>
                <w:szCs w:val="18"/>
                <w:lang w:bidi="ar"/>
                <w14:textFill>
                  <w14:solidFill>
                    <w14:schemeClr w14:val="tx1"/>
                  </w14:solidFill>
                </w14:textFill>
              </w:rPr>
              <w:t>～</w:t>
            </w:r>
            <w:r>
              <w:rPr>
                <w:rFonts w:ascii="宋体" w:hAnsi="宋体"/>
                <w:color w:val="000000" w:themeColor="text1"/>
                <w:kern w:val="0"/>
                <w:sz w:val="18"/>
                <w:szCs w:val="18"/>
                <w:lang w:bidi="ar"/>
                <w14:textFill>
                  <w14:solidFill>
                    <w14:schemeClr w14:val="tx1"/>
                  </w14:solidFill>
                </w14:textFill>
              </w:rPr>
              <w:t>22</w:t>
            </w:r>
          </w:p>
        </w:tc>
        <w:tc>
          <w:tcPr>
            <w:tcW w:w="2334" w:type="dxa"/>
            <w:vAlign w:val="center"/>
          </w:tcPr>
          <w:p w14:paraId="1EEE85F7">
            <w:pPr>
              <w:widowControl/>
              <w:jc w:val="left"/>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冬季采用空调等调温方式</w:t>
            </w:r>
          </w:p>
        </w:tc>
      </w:tr>
      <w:tr w14:paraId="1F269A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Merge w:val="restart"/>
            <w:vAlign w:val="center"/>
          </w:tcPr>
          <w:p w14:paraId="643C77B0">
            <w:pPr>
              <w:pStyle w:val="178"/>
              <w:rPr>
                <w:rFonts w:hint="eastAsia" w:hAnsi="宋体"/>
                <w:szCs w:val="18"/>
              </w:rPr>
            </w:pPr>
            <w:r>
              <w:rPr>
                <w:rFonts w:hAnsi="宋体"/>
                <w:color w:val="000000" w:themeColor="text1"/>
                <w:szCs w:val="18"/>
                <w:lang w:bidi="ar"/>
                <w14:textFill>
                  <w14:solidFill>
                    <w14:schemeClr w14:val="tx1"/>
                  </w14:solidFill>
                </w14:textFill>
              </w:rPr>
              <w:t>相对湿度（％）</w:t>
            </w:r>
          </w:p>
        </w:tc>
        <w:tc>
          <w:tcPr>
            <w:tcW w:w="3543" w:type="dxa"/>
            <w:gridSpan w:val="3"/>
            <w:vAlign w:val="center"/>
          </w:tcPr>
          <w:p w14:paraId="3C2D823B">
            <w:pPr>
              <w:widowControl/>
              <w:spacing w:line="240" w:lineRule="auto"/>
              <w:jc w:val="left"/>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游泳场（馆）</w:t>
            </w:r>
          </w:p>
        </w:tc>
        <w:tc>
          <w:tcPr>
            <w:tcW w:w="1907" w:type="dxa"/>
            <w:vAlign w:val="center"/>
          </w:tcPr>
          <w:p w14:paraId="3EF08998">
            <w:pPr>
              <w:widowControl/>
              <w:spacing w:line="240" w:lineRule="auto"/>
              <w:jc w:val="center"/>
              <w:rPr>
                <w:rFonts w:hint="eastAsia" w:ascii="宋体" w:hAnsi="宋体"/>
                <w:color w:val="000000" w:themeColor="text1"/>
                <w:kern w:val="0"/>
                <w:sz w:val="18"/>
                <w:szCs w:val="18"/>
                <w:lang w:bidi="ar"/>
                <w14:textFill>
                  <w14:solidFill>
                    <w14:schemeClr w14:val="tx1"/>
                  </w14:solidFill>
                </w14:textFill>
              </w:rPr>
            </w:pPr>
            <w:r>
              <w:rPr>
                <w:rFonts w:hint="eastAsia" w:ascii="宋体" w:hAnsi="宋体"/>
                <w:color w:val="000000" w:themeColor="text1"/>
                <w:kern w:val="0"/>
                <w:sz w:val="18"/>
                <w:szCs w:val="18"/>
                <w:lang w:bidi="ar"/>
                <w14:textFill>
                  <w14:solidFill>
                    <w14:schemeClr w14:val="tx1"/>
                  </w14:solidFill>
                </w14:textFill>
              </w:rPr>
              <w:t>≤80</w:t>
            </w:r>
          </w:p>
        </w:tc>
        <w:tc>
          <w:tcPr>
            <w:tcW w:w="2334" w:type="dxa"/>
            <w:vAlign w:val="center"/>
          </w:tcPr>
          <w:p w14:paraId="00D15250">
            <w:pPr>
              <w:widowControl/>
              <w:spacing w:line="240" w:lineRule="auto"/>
              <w:jc w:val="left"/>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带有集中空调通风系统的</w:t>
            </w:r>
          </w:p>
        </w:tc>
      </w:tr>
      <w:tr w14:paraId="4598D3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Merge w:val="continue"/>
            <w:vAlign w:val="center"/>
          </w:tcPr>
          <w:p w14:paraId="08A787C2">
            <w:pPr>
              <w:pStyle w:val="178"/>
              <w:rPr>
                <w:rFonts w:hint="eastAsia" w:hAnsi="宋体"/>
                <w:szCs w:val="18"/>
              </w:rPr>
            </w:pPr>
          </w:p>
        </w:tc>
        <w:tc>
          <w:tcPr>
            <w:tcW w:w="3543" w:type="dxa"/>
            <w:gridSpan w:val="3"/>
            <w:vAlign w:val="center"/>
          </w:tcPr>
          <w:p w14:paraId="7C6B53D3">
            <w:pPr>
              <w:widowControl/>
              <w:spacing w:line="240" w:lineRule="auto"/>
              <w:jc w:val="left"/>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其他公共场所</w:t>
            </w:r>
          </w:p>
        </w:tc>
        <w:tc>
          <w:tcPr>
            <w:tcW w:w="1907" w:type="dxa"/>
            <w:vAlign w:val="center"/>
          </w:tcPr>
          <w:p w14:paraId="3FD98744">
            <w:pPr>
              <w:widowControl/>
              <w:spacing w:line="240" w:lineRule="auto"/>
              <w:jc w:val="center"/>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30</w:t>
            </w:r>
            <w:r>
              <w:rPr>
                <w:rFonts w:hint="eastAsia" w:ascii="宋体" w:hAnsi="宋体"/>
                <w:color w:val="000000" w:themeColor="text1"/>
                <w:kern w:val="0"/>
                <w:sz w:val="18"/>
                <w:szCs w:val="18"/>
                <w:lang w:bidi="ar"/>
                <w14:textFill>
                  <w14:solidFill>
                    <w14:schemeClr w14:val="tx1"/>
                  </w14:solidFill>
                </w14:textFill>
              </w:rPr>
              <w:t>～</w:t>
            </w:r>
            <w:r>
              <w:rPr>
                <w:rFonts w:ascii="宋体" w:hAnsi="宋体"/>
                <w:color w:val="000000" w:themeColor="text1"/>
                <w:kern w:val="0"/>
                <w:sz w:val="18"/>
                <w:szCs w:val="18"/>
                <w:lang w:bidi="ar"/>
                <w14:textFill>
                  <w14:solidFill>
                    <w14:schemeClr w14:val="tx1"/>
                  </w14:solidFill>
                </w14:textFill>
              </w:rPr>
              <w:t>70</w:t>
            </w:r>
          </w:p>
        </w:tc>
        <w:tc>
          <w:tcPr>
            <w:tcW w:w="2334" w:type="dxa"/>
            <w:vAlign w:val="center"/>
          </w:tcPr>
          <w:p w14:paraId="6E82171F">
            <w:pPr>
              <w:widowControl/>
              <w:spacing w:line="240" w:lineRule="auto"/>
              <w:jc w:val="left"/>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带有集中空调通风系统的</w:t>
            </w:r>
          </w:p>
        </w:tc>
      </w:tr>
      <w:tr w14:paraId="6B8753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Merge w:val="restart"/>
            <w:vAlign w:val="center"/>
          </w:tcPr>
          <w:p w14:paraId="1390E715">
            <w:pPr>
              <w:pStyle w:val="178"/>
              <w:rPr>
                <w:rFonts w:hint="eastAsia" w:hAnsi="宋体"/>
                <w:szCs w:val="18"/>
              </w:rPr>
            </w:pPr>
            <w:r>
              <w:rPr>
                <w:rFonts w:hAnsi="宋体"/>
                <w:color w:val="000000" w:themeColor="text1"/>
                <w:szCs w:val="18"/>
                <w:lang w:bidi="ar"/>
                <w14:textFill>
                  <w14:solidFill>
                    <w14:schemeClr w14:val="tx1"/>
                  </w14:solidFill>
                </w14:textFill>
              </w:rPr>
              <w:t>风速（m/s）</w:t>
            </w:r>
          </w:p>
        </w:tc>
        <w:tc>
          <w:tcPr>
            <w:tcW w:w="3543" w:type="dxa"/>
            <w:gridSpan w:val="3"/>
            <w:vAlign w:val="center"/>
          </w:tcPr>
          <w:p w14:paraId="68E70350">
            <w:pPr>
              <w:widowControl/>
              <w:spacing w:line="240" w:lineRule="auto"/>
              <w:jc w:val="left"/>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宾馆、旅店、招待所、理发店、美容店及公共浴室</w:t>
            </w:r>
          </w:p>
        </w:tc>
        <w:tc>
          <w:tcPr>
            <w:tcW w:w="1907" w:type="dxa"/>
            <w:vAlign w:val="center"/>
          </w:tcPr>
          <w:p w14:paraId="2375984D">
            <w:pPr>
              <w:widowControl/>
              <w:spacing w:line="240" w:lineRule="auto"/>
              <w:jc w:val="center"/>
              <w:rPr>
                <w:rFonts w:hint="eastAsia" w:ascii="宋体" w:hAnsi="宋体"/>
                <w:color w:val="000000" w:themeColor="text1"/>
                <w:kern w:val="0"/>
                <w:sz w:val="18"/>
                <w:szCs w:val="18"/>
                <w:lang w:bidi="ar"/>
                <w14:textFill>
                  <w14:solidFill>
                    <w14:schemeClr w14:val="tx1"/>
                  </w14:solidFill>
                </w14:textFill>
              </w:rPr>
            </w:pPr>
            <w:r>
              <w:rPr>
                <w:rFonts w:hint="eastAsia" w:ascii="宋体" w:hAnsi="宋体"/>
                <w:color w:val="000000" w:themeColor="text1"/>
                <w:kern w:val="0"/>
                <w:sz w:val="18"/>
                <w:szCs w:val="18"/>
                <w:lang w:bidi="ar"/>
                <w14:textFill>
                  <w14:solidFill>
                    <w14:schemeClr w14:val="tx1"/>
                  </w14:solidFill>
                </w14:textFill>
              </w:rPr>
              <w:t>≤</w:t>
            </w:r>
            <w:r>
              <w:rPr>
                <w:rFonts w:ascii="宋体" w:hAnsi="宋体"/>
                <w:color w:val="000000" w:themeColor="text1"/>
                <w:kern w:val="0"/>
                <w:sz w:val="18"/>
                <w:szCs w:val="18"/>
                <w:lang w:bidi="ar"/>
                <w14:textFill>
                  <w14:solidFill>
                    <w14:schemeClr w14:val="tx1"/>
                  </w14:solidFill>
                </w14:textFill>
              </w:rPr>
              <w:t xml:space="preserve">0.3 </w:t>
            </w:r>
          </w:p>
        </w:tc>
        <w:tc>
          <w:tcPr>
            <w:tcW w:w="2334" w:type="dxa"/>
            <w:vAlign w:val="center"/>
          </w:tcPr>
          <w:p w14:paraId="06B918B9">
            <w:pPr>
              <w:widowControl/>
              <w:spacing w:line="240" w:lineRule="auto"/>
              <w:jc w:val="left"/>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更衣室、休息室</w:t>
            </w:r>
          </w:p>
        </w:tc>
      </w:tr>
      <w:tr w14:paraId="3375FA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Merge w:val="continue"/>
            <w:vAlign w:val="center"/>
          </w:tcPr>
          <w:p w14:paraId="629E9FFA">
            <w:pPr>
              <w:pStyle w:val="178"/>
              <w:rPr>
                <w:rFonts w:hint="eastAsia" w:hAnsi="宋体"/>
                <w:szCs w:val="18"/>
              </w:rPr>
            </w:pPr>
          </w:p>
        </w:tc>
        <w:tc>
          <w:tcPr>
            <w:tcW w:w="3543" w:type="dxa"/>
            <w:gridSpan w:val="3"/>
            <w:vAlign w:val="center"/>
          </w:tcPr>
          <w:p w14:paraId="38D99167">
            <w:pPr>
              <w:widowControl/>
              <w:spacing w:line="240" w:lineRule="auto"/>
              <w:jc w:val="left"/>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其他公共场所</w:t>
            </w:r>
          </w:p>
        </w:tc>
        <w:tc>
          <w:tcPr>
            <w:tcW w:w="1907" w:type="dxa"/>
            <w:vAlign w:val="center"/>
          </w:tcPr>
          <w:p w14:paraId="3A6F70AB">
            <w:pPr>
              <w:widowControl/>
              <w:spacing w:line="240" w:lineRule="auto"/>
              <w:jc w:val="center"/>
              <w:rPr>
                <w:rFonts w:hint="eastAsia" w:ascii="宋体" w:hAnsi="宋体"/>
                <w:color w:val="000000" w:themeColor="text1"/>
                <w:kern w:val="0"/>
                <w:sz w:val="18"/>
                <w:szCs w:val="18"/>
                <w:lang w:bidi="ar"/>
                <w14:textFill>
                  <w14:solidFill>
                    <w14:schemeClr w14:val="tx1"/>
                  </w14:solidFill>
                </w14:textFill>
              </w:rPr>
            </w:pPr>
            <w:r>
              <w:rPr>
                <w:rFonts w:hint="eastAsia" w:ascii="宋体" w:hAnsi="宋体"/>
                <w:color w:val="000000" w:themeColor="text1"/>
                <w:kern w:val="0"/>
                <w:sz w:val="18"/>
                <w:szCs w:val="18"/>
                <w:lang w:bidi="ar"/>
                <w14:textFill>
                  <w14:solidFill>
                    <w14:schemeClr w14:val="tx1"/>
                  </w14:solidFill>
                </w14:textFill>
              </w:rPr>
              <w:t>≤</w:t>
            </w:r>
            <w:r>
              <w:rPr>
                <w:rFonts w:ascii="宋体" w:hAnsi="宋体"/>
                <w:color w:val="000000" w:themeColor="text1"/>
                <w:kern w:val="0"/>
                <w:sz w:val="18"/>
                <w:szCs w:val="18"/>
                <w:lang w:bidi="ar"/>
                <w14:textFill>
                  <w14:solidFill>
                    <w14:schemeClr w14:val="tx1"/>
                  </w14:solidFill>
                </w14:textFill>
              </w:rPr>
              <w:t>0.5</w:t>
            </w:r>
          </w:p>
        </w:tc>
        <w:tc>
          <w:tcPr>
            <w:tcW w:w="2334" w:type="dxa"/>
            <w:vAlign w:val="center"/>
          </w:tcPr>
          <w:p w14:paraId="2A3CB816">
            <w:pPr>
              <w:widowControl/>
              <w:spacing w:line="240" w:lineRule="auto"/>
              <w:jc w:val="center"/>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w:t>
            </w:r>
          </w:p>
        </w:tc>
      </w:tr>
      <w:tr w14:paraId="68F5B8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Merge w:val="restart"/>
            <w:vAlign w:val="center"/>
          </w:tcPr>
          <w:p w14:paraId="47DAD2EC">
            <w:pPr>
              <w:pStyle w:val="178"/>
              <w:rPr>
                <w:rFonts w:hint="eastAsia" w:hAnsi="宋体"/>
                <w:szCs w:val="18"/>
              </w:rPr>
            </w:pPr>
            <w:r>
              <w:rPr>
                <w:rFonts w:hAnsi="宋体"/>
                <w:color w:val="000000" w:themeColor="text1"/>
                <w:szCs w:val="18"/>
                <w:lang w:bidi="ar"/>
                <w14:textFill>
                  <w14:solidFill>
                    <w14:schemeClr w14:val="tx1"/>
                  </w14:solidFill>
                </w14:textFill>
              </w:rPr>
              <w:t>采光系数</w:t>
            </w:r>
          </w:p>
        </w:tc>
        <w:tc>
          <w:tcPr>
            <w:tcW w:w="3543" w:type="dxa"/>
            <w:gridSpan w:val="3"/>
            <w:vAlign w:val="center"/>
          </w:tcPr>
          <w:p w14:paraId="2CE0310C">
            <w:pPr>
              <w:widowControl/>
              <w:spacing w:line="240" w:lineRule="auto"/>
              <w:jc w:val="left"/>
              <w:rPr>
                <w:rFonts w:hint="eastAsia" w:ascii="宋体" w:hAnsi="宋体"/>
                <w:strike/>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室内游泳场（馆）</w:t>
            </w:r>
          </w:p>
        </w:tc>
        <w:tc>
          <w:tcPr>
            <w:tcW w:w="1907" w:type="dxa"/>
            <w:vAlign w:val="center"/>
          </w:tcPr>
          <w:p w14:paraId="2B22C25C">
            <w:pPr>
              <w:widowControl/>
              <w:spacing w:line="240" w:lineRule="auto"/>
              <w:jc w:val="center"/>
              <w:rPr>
                <w:rFonts w:hint="eastAsia" w:ascii="宋体" w:hAnsi="宋体"/>
                <w:strike/>
                <w:color w:val="000000" w:themeColor="text1"/>
                <w:kern w:val="0"/>
                <w:sz w:val="18"/>
                <w:szCs w:val="18"/>
                <w:lang w:bidi="ar"/>
                <w14:textFill>
                  <w14:solidFill>
                    <w14:schemeClr w14:val="tx1"/>
                  </w14:solidFill>
                </w14:textFill>
              </w:rPr>
            </w:pPr>
            <w:r>
              <w:rPr>
                <w:rFonts w:hint="eastAsia" w:ascii="宋体" w:hAnsi="宋体"/>
                <w:color w:val="000000" w:themeColor="text1"/>
                <w:kern w:val="0"/>
                <w:sz w:val="18"/>
                <w:szCs w:val="18"/>
                <w:lang w:bidi="ar"/>
                <w14:textFill>
                  <w14:solidFill>
                    <w14:schemeClr w14:val="tx1"/>
                  </w14:solidFill>
                </w14:textFill>
              </w:rPr>
              <w:t>≥</w:t>
            </w:r>
            <w:r>
              <w:rPr>
                <w:rFonts w:ascii="宋体" w:hAnsi="宋体"/>
                <w:color w:val="000000" w:themeColor="text1"/>
                <w:kern w:val="0"/>
                <w:sz w:val="18"/>
                <w:szCs w:val="18"/>
                <w:lang w:bidi="ar"/>
                <w14:textFill>
                  <w14:solidFill>
                    <w14:schemeClr w14:val="tx1"/>
                  </w14:solidFill>
                </w14:textFill>
              </w:rPr>
              <w:t>1/4</w:t>
            </w:r>
          </w:p>
        </w:tc>
        <w:tc>
          <w:tcPr>
            <w:tcW w:w="2334" w:type="dxa"/>
            <w:vAlign w:val="center"/>
          </w:tcPr>
          <w:p w14:paraId="474D8AB0">
            <w:pPr>
              <w:widowControl/>
              <w:spacing w:line="240" w:lineRule="auto"/>
              <w:jc w:val="left"/>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自然采光</w:t>
            </w:r>
          </w:p>
        </w:tc>
      </w:tr>
      <w:tr w14:paraId="61DA67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Merge w:val="continue"/>
            <w:vAlign w:val="center"/>
          </w:tcPr>
          <w:p w14:paraId="122E5B3F">
            <w:pPr>
              <w:pStyle w:val="178"/>
              <w:rPr>
                <w:rFonts w:hint="eastAsia" w:hAnsi="宋体"/>
                <w:szCs w:val="18"/>
              </w:rPr>
            </w:pPr>
          </w:p>
        </w:tc>
        <w:tc>
          <w:tcPr>
            <w:tcW w:w="3543" w:type="dxa"/>
            <w:gridSpan w:val="3"/>
            <w:vAlign w:val="center"/>
          </w:tcPr>
          <w:p w14:paraId="10C519BC">
            <w:pPr>
              <w:widowControl/>
              <w:spacing w:line="240" w:lineRule="auto"/>
              <w:jc w:val="left"/>
              <w:rPr>
                <w:rFonts w:hint="eastAsia" w:ascii="宋体" w:hAnsi="宋体"/>
                <w:strike/>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其他室内公共场所</w:t>
            </w:r>
          </w:p>
        </w:tc>
        <w:tc>
          <w:tcPr>
            <w:tcW w:w="1907" w:type="dxa"/>
            <w:vAlign w:val="center"/>
          </w:tcPr>
          <w:p w14:paraId="27FCE902">
            <w:pPr>
              <w:widowControl/>
              <w:spacing w:line="240" w:lineRule="auto"/>
              <w:jc w:val="center"/>
              <w:rPr>
                <w:rFonts w:hint="eastAsia" w:ascii="宋体" w:hAnsi="宋体"/>
                <w:strike/>
                <w:color w:val="000000" w:themeColor="text1"/>
                <w:kern w:val="0"/>
                <w:sz w:val="18"/>
                <w:szCs w:val="18"/>
                <w:lang w:bidi="ar"/>
                <w14:textFill>
                  <w14:solidFill>
                    <w14:schemeClr w14:val="tx1"/>
                  </w14:solidFill>
                </w14:textFill>
              </w:rPr>
            </w:pPr>
            <w:r>
              <w:rPr>
                <w:rFonts w:hint="eastAsia" w:ascii="宋体" w:hAnsi="宋体"/>
                <w:color w:val="000000" w:themeColor="text1"/>
                <w:kern w:val="0"/>
                <w:sz w:val="18"/>
                <w:szCs w:val="18"/>
                <w:lang w:bidi="ar"/>
                <w14:textFill>
                  <w14:solidFill>
                    <w14:schemeClr w14:val="tx1"/>
                  </w14:solidFill>
                </w14:textFill>
              </w:rPr>
              <w:t>≥</w:t>
            </w:r>
            <w:r>
              <w:rPr>
                <w:rFonts w:ascii="宋体" w:hAnsi="宋体"/>
                <w:color w:val="000000" w:themeColor="text1"/>
                <w:kern w:val="0"/>
                <w:sz w:val="18"/>
                <w:szCs w:val="18"/>
                <w:lang w:bidi="ar"/>
                <w14:textFill>
                  <w14:solidFill>
                    <w14:schemeClr w14:val="tx1"/>
                  </w14:solidFill>
                </w14:textFill>
              </w:rPr>
              <w:t>1/8</w:t>
            </w:r>
          </w:p>
        </w:tc>
        <w:tc>
          <w:tcPr>
            <w:tcW w:w="2334" w:type="dxa"/>
            <w:vAlign w:val="center"/>
          </w:tcPr>
          <w:p w14:paraId="32502B09">
            <w:pPr>
              <w:widowControl/>
              <w:spacing w:line="240" w:lineRule="auto"/>
              <w:jc w:val="left"/>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自然采光</w:t>
            </w:r>
          </w:p>
        </w:tc>
      </w:tr>
      <w:tr w14:paraId="53E918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Merge w:val="restart"/>
            <w:vAlign w:val="center"/>
          </w:tcPr>
          <w:p w14:paraId="08A0CC25">
            <w:pPr>
              <w:pStyle w:val="178"/>
              <w:rPr>
                <w:rFonts w:hint="eastAsia" w:hAnsi="宋体"/>
                <w:szCs w:val="18"/>
              </w:rPr>
            </w:pPr>
            <w:r>
              <w:rPr>
                <w:rFonts w:hAnsi="宋体"/>
                <w:color w:val="000000" w:themeColor="text1"/>
                <w:szCs w:val="18"/>
                <w:lang w:bidi="ar"/>
                <w14:textFill>
                  <w14:solidFill>
                    <w14:schemeClr w14:val="tx1"/>
                  </w14:solidFill>
                </w14:textFill>
              </w:rPr>
              <w:t>池水温度（℃）</w:t>
            </w:r>
          </w:p>
        </w:tc>
        <w:tc>
          <w:tcPr>
            <w:tcW w:w="3543" w:type="dxa"/>
            <w:gridSpan w:val="3"/>
            <w:vAlign w:val="center"/>
          </w:tcPr>
          <w:p w14:paraId="3C36D50A">
            <w:pPr>
              <w:pStyle w:val="178"/>
              <w:jc w:val="left"/>
              <w:rPr>
                <w:rFonts w:hint="eastAsia" w:hAnsi="宋体"/>
                <w:color w:val="000000" w:themeColor="text1"/>
                <w:szCs w:val="18"/>
                <w:lang w:bidi="ar"/>
                <w14:textFill>
                  <w14:solidFill>
                    <w14:schemeClr w14:val="tx1"/>
                  </w14:solidFill>
                </w14:textFill>
              </w:rPr>
            </w:pPr>
            <w:r>
              <w:rPr>
                <w:rFonts w:hAnsi="宋体"/>
                <w:color w:val="000000" w:themeColor="text1"/>
                <w:szCs w:val="18"/>
                <w:lang w:bidi="ar"/>
                <w14:textFill>
                  <w14:solidFill>
                    <w14:schemeClr w14:val="tx1"/>
                  </w14:solidFill>
                </w14:textFill>
              </w:rPr>
              <w:t>游泳场（馆）</w:t>
            </w:r>
          </w:p>
        </w:tc>
        <w:tc>
          <w:tcPr>
            <w:tcW w:w="1907" w:type="dxa"/>
            <w:vAlign w:val="center"/>
          </w:tcPr>
          <w:p w14:paraId="4B05F273">
            <w:pPr>
              <w:widowControl/>
              <w:jc w:val="center"/>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sz w:val="18"/>
                <w:szCs w:val="18"/>
                <w:lang w:bidi="ar"/>
                <w14:textFill>
                  <w14:solidFill>
                    <w14:schemeClr w14:val="tx1"/>
                  </w14:solidFill>
                </w14:textFill>
              </w:rPr>
              <w:t>2</w:t>
            </w:r>
            <w:r>
              <w:rPr>
                <w:rFonts w:hint="eastAsia" w:ascii="宋体" w:hAnsi="宋体"/>
                <w:color w:val="000000" w:themeColor="text1"/>
                <w:sz w:val="18"/>
                <w:szCs w:val="18"/>
                <w:lang w:bidi="ar"/>
                <w14:textFill>
                  <w14:solidFill>
                    <w14:schemeClr w14:val="tx1"/>
                  </w14:solidFill>
                </w14:textFill>
              </w:rPr>
              <w:t>0</w:t>
            </w:r>
            <w:r>
              <w:rPr>
                <w:rFonts w:hint="eastAsia" w:ascii="宋体" w:hAnsi="宋体"/>
                <w:color w:val="000000" w:themeColor="text1"/>
                <w:kern w:val="0"/>
                <w:sz w:val="18"/>
                <w:szCs w:val="18"/>
                <w:lang w:bidi="ar"/>
                <w14:textFill>
                  <w14:solidFill>
                    <w14:schemeClr w14:val="tx1"/>
                  </w14:solidFill>
                </w14:textFill>
              </w:rPr>
              <w:t>～</w:t>
            </w:r>
            <w:r>
              <w:rPr>
                <w:rFonts w:ascii="宋体" w:hAnsi="宋体"/>
                <w:color w:val="000000" w:themeColor="text1"/>
                <w:sz w:val="18"/>
                <w:szCs w:val="18"/>
                <w:lang w:bidi="ar"/>
                <w14:textFill>
                  <w14:solidFill>
                    <w14:schemeClr w14:val="tx1"/>
                  </w14:solidFill>
                </w14:textFill>
              </w:rPr>
              <w:t>30</w:t>
            </w:r>
          </w:p>
        </w:tc>
        <w:tc>
          <w:tcPr>
            <w:tcW w:w="2334" w:type="dxa"/>
            <w:vAlign w:val="center"/>
          </w:tcPr>
          <w:p w14:paraId="28FD0973">
            <w:pPr>
              <w:widowControl/>
              <w:spacing w:line="240" w:lineRule="auto"/>
              <w:jc w:val="left"/>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人工游泳池水</w:t>
            </w:r>
          </w:p>
        </w:tc>
      </w:tr>
      <w:tr w14:paraId="1A9789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Merge w:val="continue"/>
            <w:vAlign w:val="center"/>
          </w:tcPr>
          <w:p w14:paraId="1652AB11">
            <w:pPr>
              <w:pStyle w:val="178"/>
              <w:rPr>
                <w:rFonts w:hint="eastAsia" w:hAnsi="宋体"/>
                <w:szCs w:val="18"/>
              </w:rPr>
            </w:pPr>
          </w:p>
        </w:tc>
        <w:tc>
          <w:tcPr>
            <w:tcW w:w="3543" w:type="dxa"/>
            <w:gridSpan w:val="3"/>
            <w:vAlign w:val="center"/>
          </w:tcPr>
          <w:p w14:paraId="2900E54C">
            <w:pPr>
              <w:widowControl/>
              <w:spacing w:line="240" w:lineRule="auto"/>
              <w:jc w:val="left"/>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沐浴场所</w:t>
            </w:r>
          </w:p>
        </w:tc>
        <w:tc>
          <w:tcPr>
            <w:tcW w:w="1907" w:type="dxa"/>
            <w:vAlign w:val="center"/>
          </w:tcPr>
          <w:p w14:paraId="58776AD0">
            <w:pPr>
              <w:widowControl/>
              <w:jc w:val="center"/>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38</w:t>
            </w:r>
            <w:r>
              <w:rPr>
                <w:rFonts w:hint="eastAsia" w:ascii="宋体" w:hAnsi="宋体"/>
                <w:color w:val="000000" w:themeColor="text1"/>
                <w:kern w:val="0"/>
                <w:sz w:val="18"/>
                <w:szCs w:val="18"/>
                <w:lang w:bidi="ar"/>
                <w14:textFill>
                  <w14:solidFill>
                    <w14:schemeClr w14:val="tx1"/>
                  </w14:solidFill>
                </w14:textFill>
              </w:rPr>
              <w:t>～</w:t>
            </w:r>
            <w:r>
              <w:rPr>
                <w:rFonts w:ascii="宋体" w:hAnsi="宋体"/>
                <w:color w:val="000000" w:themeColor="text1"/>
                <w:kern w:val="0"/>
                <w:sz w:val="18"/>
                <w:szCs w:val="18"/>
                <w:lang w:bidi="ar"/>
                <w14:textFill>
                  <w14:solidFill>
                    <w14:schemeClr w14:val="tx1"/>
                  </w14:solidFill>
                </w14:textFill>
              </w:rPr>
              <w:t>40</w:t>
            </w:r>
          </w:p>
        </w:tc>
        <w:tc>
          <w:tcPr>
            <w:tcW w:w="2334" w:type="dxa"/>
            <w:vAlign w:val="center"/>
          </w:tcPr>
          <w:p w14:paraId="442AB69E">
            <w:pPr>
              <w:widowControl/>
              <w:spacing w:line="240" w:lineRule="auto"/>
              <w:jc w:val="left"/>
              <w:rPr>
                <w:rFonts w:hint="eastAsia" w:ascii="宋体" w:hAnsi="宋体"/>
                <w:color w:val="000000" w:themeColor="text1"/>
                <w:kern w:val="0"/>
                <w:sz w:val="18"/>
                <w:szCs w:val="18"/>
                <w:lang w:bidi="ar"/>
                <w14:textFill>
                  <w14:solidFill>
                    <w14:schemeClr w14:val="tx1"/>
                  </w14:solidFill>
                </w14:textFill>
              </w:rPr>
            </w:pPr>
            <w:r>
              <w:rPr>
                <w:rFonts w:ascii="宋体" w:hAnsi="宋体"/>
                <w:color w:val="000000" w:themeColor="text1"/>
                <w:kern w:val="0"/>
                <w:sz w:val="18"/>
                <w:szCs w:val="18"/>
                <w:lang w:bidi="ar"/>
                <w14:textFill>
                  <w14:solidFill>
                    <w14:schemeClr w14:val="tx1"/>
                  </w14:solidFill>
                </w14:textFill>
              </w:rPr>
              <w:t>沐浴池池水</w:t>
            </w:r>
          </w:p>
        </w:tc>
      </w:tr>
      <w:bookmarkEnd w:id="47"/>
    </w:tbl>
    <w:p w14:paraId="09EDD3A4">
      <w:pPr>
        <w:pStyle w:val="56"/>
        <w:ind w:firstLine="0" w:firstLineChars="0"/>
        <w:jc w:val="center"/>
      </w:pPr>
      <w:bookmarkStart w:id="48" w:name="BookMark8"/>
      <w:r>
        <w:rPr>
          <w:rFonts w:hint="eastAsia"/>
        </w:rPr>
        <w:drawing>
          <wp:inline distT="0" distB="0" distL="0" distR="0">
            <wp:extent cx="1485900" cy="317500"/>
            <wp:effectExtent l="0" t="0" r="0" b="6350"/>
            <wp:docPr id="499955198" name="图片 4"/>
            <wp:cNvGraphicFramePr/>
            <a:graphic xmlns:a="http://schemas.openxmlformats.org/drawingml/2006/main">
              <a:graphicData uri="http://schemas.openxmlformats.org/drawingml/2006/picture">
                <pic:pic xmlns:pic="http://schemas.openxmlformats.org/drawingml/2006/picture">
                  <pic:nvPicPr>
                    <pic:cNvPr id="499955198" name="图片 4"/>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8"/>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777D5">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5BDFB">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C9DA6">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F1191">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3220F">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D269D">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5438F">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6F00D">
    <w:pPr>
      <w:pStyle w:val="61"/>
      <w:spacing w:after="0"/>
      <w:rPr>
        <w:rFonts w:hint="eastAsia"/>
      </w:rPr>
    </w:pPr>
    <w:r>
      <w:fldChar w:fldCharType="begin"/>
    </w:r>
    <w:r>
      <w:instrText xml:space="preserve"> STYLEREF  标准文件_文件编号  \* MERGEFORMAT </w:instrText>
    </w:r>
    <w:r>
      <w:fldChar w:fldCharType="separate"/>
    </w:r>
    <w:r>
      <w:t>GB 37488—XXXX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DB646">
    <w:pPr>
      <w:pStyle w:val="18"/>
      <w:jc w:val="right"/>
    </w:pPr>
    <w:r>
      <w:fldChar w:fldCharType="begin"/>
    </w:r>
    <w:r>
      <w:instrText xml:space="preserve"> STYLEREF  标准文件_文件编号  \* MERGEFORMAT </w:instrText>
    </w:r>
    <w:r>
      <w:fldChar w:fldCharType="separate"/>
    </w:r>
    <w:r>
      <w:t>GB 37488—XXXX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attachedTemplate r:id="rId1"/>
  <w:documentProtection w:edit="forms" w:enforcement="1" w:cryptProviderType="rsaAES" w:cryptAlgorithmClass="hash" w:cryptAlgorithmType="typeAny" w:cryptAlgorithmSid="14" w:cryptSpinCount="100000" w:hash="3QwRmIEuqwQidWMUKLjcCLdrbGlALPDUbmaKvLTLrrtb/dlPYDkCbZqeqF5s/zwYkpa3sx93mwDKO2vzYvisBg==" w:salt="cq2rq0tUTd+oYpAZmnLS7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E01"/>
    <w:rsid w:val="0000040A"/>
    <w:rsid w:val="00000A94"/>
    <w:rsid w:val="0000174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249A"/>
    <w:rsid w:val="00043282"/>
    <w:rsid w:val="00044286"/>
    <w:rsid w:val="00047F28"/>
    <w:rsid w:val="000503AA"/>
    <w:rsid w:val="000506A1"/>
    <w:rsid w:val="000515DD"/>
    <w:rsid w:val="0005265A"/>
    <w:rsid w:val="000539DD"/>
    <w:rsid w:val="00053BD3"/>
    <w:rsid w:val="000556ED"/>
    <w:rsid w:val="00055FE2"/>
    <w:rsid w:val="0005616F"/>
    <w:rsid w:val="00057C70"/>
    <w:rsid w:val="00060C2E"/>
    <w:rsid w:val="00061033"/>
    <w:rsid w:val="000619E9"/>
    <w:rsid w:val="000622D4"/>
    <w:rsid w:val="0006351A"/>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2FBD"/>
    <w:rsid w:val="000C3E10"/>
    <w:rsid w:val="000C4B41"/>
    <w:rsid w:val="000C57D6"/>
    <w:rsid w:val="000C7666"/>
    <w:rsid w:val="000D0A9C"/>
    <w:rsid w:val="000D1795"/>
    <w:rsid w:val="000D329A"/>
    <w:rsid w:val="000D4B9C"/>
    <w:rsid w:val="000D4EB6"/>
    <w:rsid w:val="000D753B"/>
    <w:rsid w:val="000E4C9E"/>
    <w:rsid w:val="000E6FD7"/>
    <w:rsid w:val="000F06E1"/>
    <w:rsid w:val="000F0E3C"/>
    <w:rsid w:val="000F19D5"/>
    <w:rsid w:val="000F236A"/>
    <w:rsid w:val="000F2E41"/>
    <w:rsid w:val="000F4AEA"/>
    <w:rsid w:val="000F6501"/>
    <w:rsid w:val="000F67E9"/>
    <w:rsid w:val="001016A7"/>
    <w:rsid w:val="00104926"/>
    <w:rsid w:val="00113B1E"/>
    <w:rsid w:val="0011711C"/>
    <w:rsid w:val="00124E4F"/>
    <w:rsid w:val="001260B7"/>
    <w:rsid w:val="001265CB"/>
    <w:rsid w:val="00132098"/>
    <w:rsid w:val="001321C6"/>
    <w:rsid w:val="001325C4"/>
    <w:rsid w:val="00133010"/>
    <w:rsid w:val="001337A1"/>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B06E8"/>
    <w:rsid w:val="001B71D0"/>
    <w:rsid w:val="001B71EE"/>
    <w:rsid w:val="001C04A8"/>
    <w:rsid w:val="001C2C03"/>
    <w:rsid w:val="001C42F7"/>
    <w:rsid w:val="001C49E5"/>
    <w:rsid w:val="001C680C"/>
    <w:rsid w:val="001C7FEA"/>
    <w:rsid w:val="001D0499"/>
    <w:rsid w:val="001D0BBE"/>
    <w:rsid w:val="001D0ED4"/>
    <w:rsid w:val="001D1C53"/>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0776E"/>
    <w:rsid w:val="00210B15"/>
    <w:rsid w:val="00212109"/>
    <w:rsid w:val="002142EA"/>
    <w:rsid w:val="002204BB"/>
    <w:rsid w:val="00221B79"/>
    <w:rsid w:val="00221C6B"/>
    <w:rsid w:val="002253A1"/>
    <w:rsid w:val="00225CF8"/>
    <w:rsid w:val="0022794E"/>
    <w:rsid w:val="00233D64"/>
    <w:rsid w:val="0023482A"/>
    <w:rsid w:val="002359CB"/>
    <w:rsid w:val="002375D9"/>
    <w:rsid w:val="00243540"/>
    <w:rsid w:val="0024497B"/>
    <w:rsid w:val="0024515B"/>
    <w:rsid w:val="00246021"/>
    <w:rsid w:val="0024666E"/>
    <w:rsid w:val="00247F52"/>
    <w:rsid w:val="00250B25"/>
    <w:rsid w:val="00250BBE"/>
    <w:rsid w:val="0025194F"/>
    <w:rsid w:val="0026148A"/>
    <w:rsid w:val="00262696"/>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1B28"/>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4BDF"/>
    <w:rsid w:val="00317988"/>
    <w:rsid w:val="003221B4"/>
    <w:rsid w:val="00322E62"/>
    <w:rsid w:val="00324EDD"/>
    <w:rsid w:val="00336C64"/>
    <w:rsid w:val="00337162"/>
    <w:rsid w:val="0034194F"/>
    <w:rsid w:val="00344605"/>
    <w:rsid w:val="003474AA"/>
    <w:rsid w:val="00350D1D"/>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6E5"/>
    <w:rsid w:val="00390EE6"/>
    <w:rsid w:val="0039118F"/>
    <w:rsid w:val="00392AD7"/>
    <w:rsid w:val="00392C1E"/>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5A43"/>
    <w:rsid w:val="003D0519"/>
    <w:rsid w:val="003D0FF6"/>
    <w:rsid w:val="003D262C"/>
    <w:rsid w:val="003D6D61"/>
    <w:rsid w:val="003E091D"/>
    <w:rsid w:val="003E1C53"/>
    <w:rsid w:val="003E2A69"/>
    <w:rsid w:val="003E2D49"/>
    <w:rsid w:val="003E2FD4"/>
    <w:rsid w:val="003E49F6"/>
    <w:rsid w:val="003F0841"/>
    <w:rsid w:val="003F192B"/>
    <w:rsid w:val="003F23D3"/>
    <w:rsid w:val="003F3F08"/>
    <w:rsid w:val="003F49F1"/>
    <w:rsid w:val="003F6272"/>
    <w:rsid w:val="00400E72"/>
    <w:rsid w:val="00401400"/>
    <w:rsid w:val="00404869"/>
    <w:rsid w:val="00405884"/>
    <w:rsid w:val="00407D39"/>
    <w:rsid w:val="0041477A"/>
    <w:rsid w:val="004167A3"/>
    <w:rsid w:val="00432DAA"/>
    <w:rsid w:val="00434305"/>
    <w:rsid w:val="004347D3"/>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84936"/>
    <w:rsid w:val="00485C89"/>
    <w:rsid w:val="00486BE3"/>
    <w:rsid w:val="004905E4"/>
    <w:rsid w:val="00490A89"/>
    <w:rsid w:val="00490AB4"/>
    <w:rsid w:val="00492F02"/>
    <w:rsid w:val="004939AE"/>
    <w:rsid w:val="004A12DF"/>
    <w:rsid w:val="004A1BA8"/>
    <w:rsid w:val="004A4B57"/>
    <w:rsid w:val="004A63FA"/>
    <w:rsid w:val="004B2701"/>
    <w:rsid w:val="004B2E1B"/>
    <w:rsid w:val="004B3E93"/>
    <w:rsid w:val="004C1FBC"/>
    <w:rsid w:val="004C3F1D"/>
    <w:rsid w:val="004C458D"/>
    <w:rsid w:val="004C7556"/>
    <w:rsid w:val="004C7E9D"/>
    <w:rsid w:val="004C7F67"/>
    <w:rsid w:val="004D076D"/>
    <w:rsid w:val="004D0EF1"/>
    <w:rsid w:val="004D2253"/>
    <w:rsid w:val="004D4406"/>
    <w:rsid w:val="004D7C42"/>
    <w:rsid w:val="004E0465"/>
    <w:rsid w:val="004E127B"/>
    <w:rsid w:val="004E1C0A"/>
    <w:rsid w:val="004E2C10"/>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220EC"/>
    <w:rsid w:val="00523461"/>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741B"/>
    <w:rsid w:val="005801E3"/>
    <w:rsid w:val="00581802"/>
    <w:rsid w:val="005836A8"/>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7881"/>
    <w:rsid w:val="005E78E0"/>
    <w:rsid w:val="005F0D9C"/>
    <w:rsid w:val="005F284E"/>
    <w:rsid w:val="006002B2"/>
    <w:rsid w:val="006015CE"/>
    <w:rsid w:val="00604784"/>
    <w:rsid w:val="00606419"/>
    <w:rsid w:val="00607D29"/>
    <w:rsid w:val="00612952"/>
    <w:rsid w:val="00614CC1"/>
    <w:rsid w:val="00615A9D"/>
    <w:rsid w:val="006162BE"/>
    <w:rsid w:val="00616BBB"/>
    <w:rsid w:val="00617387"/>
    <w:rsid w:val="006252D8"/>
    <w:rsid w:val="006259BC"/>
    <w:rsid w:val="0062636B"/>
    <w:rsid w:val="00626922"/>
    <w:rsid w:val="00632182"/>
    <w:rsid w:val="00632AE0"/>
    <w:rsid w:val="00633C17"/>
    <w:rsid w:val="00636E3E"/>
    <w:rsid w:val="006379F7"/>
    <w:rsid w:val="00637E4D"/>
    <w:rsid w:val="00640620"/>
    <w:rsid w:val="00641A1F"/>
    <w:rsid w:val="00645904"/>
    <w:rsid w:val="00646BDC"/>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5DEE"/>
    <w:rsid w:val="006F03A8"/>
    <w:rsid w:val="006F0ED7"/>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5949"/>
    <w:rsid w:val="00727FA2"/>
    <w:rsid w:val="007322D9"/>
    <w:rsid w:val="00732BC0"/>
    <w:rsid w:val="0073720F"/>
    <w:rsid w:val="00737796"/>
    <w:rsid w:val="0074165C"/>
    <w:rsid w:val="007432CA"/>
    <w:rsid w:val="007439EB"/>
    <w:rsid w:val="00743CB4"/>
    <w:rsid w:val="00743F0A"/>
    <w:rsid w:val="007444E8"/>
    <w:rsid w:val="0074548E"/>
    <w:rsid w:val="00745773"/>
    <w:rsid w:val="00746800"/>
    <w:rsid w:val="007501A8"/>
    <w:rsid w:val="00750EE1"/>
    <w:rsid w:val="00752B4D"/>
    <w:rsid w:val="00755402"/>
    <w:rsid w:val="00756B26"/>
    <w:rsid w:val="00756EDF"/>
    <w:rsid w:val="007609A2"/>
    <w:rsid w:val="00765C43"/>
    <w:rsid w:val="00765EFB"/>
    <w:rsid w:val="007671CA"/>
    <w:rsid w:val="00767C61"/>
    <w:rsid w:val="0077008A"/>
    <w:rsid w:val="00773C1F"/>
    <w:rsid w:val="00774DA4"/>
    <w:rsid w:val="00776599"/>
    <w:rsid w:val="00777B6D"/>
    <w:rsid w:val="0078114B"/>
    <w:rsid w:val="00781DD2"/>
    <w:rsid w:val="00783ECF"/>
    <w:rsid w:val="0078413A"/>
    <w:rsid w:val="00790CA3"/>
    <w:rsid w:val="00790E01"/>
    <w:rsid w:val="007959E8"/>
    <w:rsid w:val="00795E9C"/>
    <w:rsid w:val="007A0521"/>
    <w:rsid w:val="007A061E"/>
    <w:rsid w:val="007A2E12"/>
    <w:rsid w:val="007A3475"/>
    <w:rsid w:val="007A41C8"/>
    <w:rsid w:val="007A54CE"/>
    <w:rsid w:val="007A6118"/>
    <w:rsid w:val="007A7FFA"/>
    <w:rsid w:val="007B04EB"/>
    <w:rsid w:val="007B0D4F"/>
    <w:rsid w:val="007B5A3D"/>
    <w:rsid w:val="007B5B95"/>
    <w:rsid w:val="007B68EA"/>
    <w:rsid w:val="007C19E8"/>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10257"/>
    <w:rsid w:val="008104F5"/>
    <w:rsid w:val="00811072"/>
    <w:rsid w:val="00811369"/>
    <w:rsid w:val="00814E50"/>
    <w:rsid w:val="00815419"/>
    <w:rsid w:val="008163C8"/>
    <w:rsid w:val="00817325"/>
    <w:rsid w:val="008209E6"/>
    <w:rsid w:val="00823303"/>
    <w:rsid w:val="008233B2"/>
    <w:rsid w:val="00823A9F"/>
    <w:rsid w:val="00823C85"/>
    <w:rsid w:val="00825138"/>
    <w:rsid w:val="008269DD"/>
    <w:rsid w:val="00830621"/>
    <w:rsid w:val="00832F3C"/>
    <w:rsid w:val="0083348C"/>
    <w:rsid w:val="008373D3"/>
    <w:rsid w:val="00840617"/>
    <w:rsid w:val="00842A47"/>
    <w:rsid w:val="00843C13"/>
    <w:rsid w:val="008454F8"/>
    <w:rsid w:val="00851342"/>
    <w:rsid w:val="0085173A"/>
    <w:rsid w:val="008603CE"/>
    <w:rsid w:val="008620FC"/>
    <w:rsid w:val="008627A5"/>
    <w:rsid w:val="00863E05"/>
    <w:rsid w:val="00865ACA"/>
    <w:rsid w:val="00865D28"/>
    <w:rsid w:val="00865F85"/>
    <w:rsid w:val="00867C10"/>
    <w:rsid w:val="00870439"/>
    <w:rsid w:val="00870DA1"/>
    <w:rsid w:val="00882D96"/>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619A"/>
    <w:rsid w:val="008C75A8"/>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73D"/>
    <w:rsid w:val="00923FFE"/>
    <w:rsid w:val="009245F5"/>
    <w:rsid w:val="009249EC"/>
    <w:rsid w:val="009273B3"/>
    <w:rsid w:val="009305B5"/>
    <w:rsid w:val="00934C12"/>
    <w:rsid w:val="00934C1F"/>
    <w:rsid w:val="009429D5"/>
    <w:rsid w:val="00942BF1"/>
    <w:rsid w:val="00945180"/>
    <w:rsid w:val="00945428"/>
    <w:rsid w:val="0094607B"/>
    <w:rsid w:val="00952C52"/>
    <w:rsid w:val="00953604"/>
    <w:rsid w:val="009610DC"/>
    <w:rsid w:val="00961490"/>
    <w:rsid w:val="0096381A"/>
    <w:rsid w:val="00965E04"/>
    <w:rsid w:val="009674AD"/>
    <w:rsid w:val="0097094E"/>
    <w:rsid w:val="00970CDC"/>
    <w:rsid w:val="00977010"/>
    <w:rsid w:val="00977D02"/>
    <w:rsid w:val="009809BB"/>
    <w:rsid w:val="00982D22"/>
    <w:rsid w:val="0098364B"/>
    <w:rsid w:val="00983BF9"/>
    <w:rsid w:val="009911AF"/>
    <w:rsid w:val="00991875"/>
    <w:rsid w:val="00991F92"/>
    <w:rsid w:val="00992985"/>
    <w:rsid w:val="00993889"/>
    <w:rsid w:val="0099551B"/>
    <w:rsid w:val="00997BF1"/>
    <w:rsid w:val="009A089C"/>
    <w:rsid w:val="009A118E"/>
    <w:rsid w:val="009A21CD"/>
    <w:rsid w:val="009A278C"/>
    <w:rsid w:val="009A2BC2"/>
    <w:rsid w:val="009A3EEC"/>
    <w:rsid w:val="009A42C1"/>
    <w:rsid w:val="009A5429"/>
    <w:rsid w:val="009A72AD"/>
    <w:rsid w:val="009B09E0"/>
    <w:rsid w:val="009B0BC5"/>
    <w:rsid w:val="009B1247"/>
    <w:rsid w:val="009B4954"/>
    <w:rsid w:val="009B6029"/>
    <w:rsid w:val="009B6971"/>
    <w:rsid w:val="009C27F1"/>
    <w:rsid w:val="009C3152"/>
    <w:rsid w:val="009C4CFA"/>
    <w:rsid w:val="009C5070"/>
    <w:rsid w:val="009D112C"/>
    <w:rsid w:val="009D47FA"/>
    <w:rsid w:val="009D50D2"/>
    <w:rsid w:val="009D6BCA"/>
    <w:rsid w:val="009E0F62"/>
    <w:rsid w:val="009E4A58"/>
    <w:rsid w:val="009E5A2D"/>
    <w:rsid w:val="009E5AB2"/>
    <w:rsid w:val="009E6219"/>
    <w:rsid w:val="009F03B3"/>
    <w:rsid w:val="00A01757"/>
    <w:rsid w:val="00A028C0"/>
    <w:rsid w:val="00A02BAE"/>
    <w:rsid w:val="00A0383C"/>
    <w:rsid w:val="00A06A6B"/>
    <w:rsid w:val="00A07E47"/>
    <w:rsid w:val="00A129D0"/>
    <w:rsid w:val="00A12C33"/>
    <w:rsid w:val="00A138BA"/>
    <w:rsid w:val="00A14C8E"/>
    <w:rsid w:val="00A153D9"/>
    <w:rsid w:val="00A15F09"/>
    <w:rsid w:val="00A169B6"/>
    <w:rsid w:val="00A2271D"/>
    <w:rsid w:val="00A236E5"/>
    <w:rsid w:val="00A237D5"/>
    <w:rsid w:val="00A24F7B"/>
    <w:rsid w:val="00A30EFC"/>
    <w:rsid w:val="00A31984"/>
    <w:rsid w:val="00A32D73"/>
    <w:rsid w:val="00A32ECE"/>
    <w:rsid w:val="00A3367B"/>
    <w:rsid w:val="00A3597D"/>
    <w:rsid w:val="00A40091"/>
    <w:rsid w:val="00A4030F"/>
    <w:rsid w:val="00A41C79"/>
    <w:rsid w:val="00A41CB5"/>
    <w:rsid w:val="00A42CDF"/>
    <w:rsid w:val="00A4452E"/>
    <w:rsid w:val="00A4472C"/>
    <w:rsid w:val="00A44E69"/>
    <w:rsid w:val="00A4661E"/>
    <w:rsid w:val="00A5146A"/>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5595"/>
    <w:rsid w:val="00A963F7"/>
    <w:rsid w:val="00A96AD8"/>
    <w:rsid w:val="00AA052C"/>
    <w:rsid w:val="00AA1E45"/>
    <w:rsid w:val="00AA2A24"/>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E070A"/>
    <w:rsid w:val="00AE101C"/>
    <w:rsid w:val="00AF0C18"/>
    <w:rsid w:val="00AF2DDB"/>
    <w:rsid w:val="00AF47C5"/>
    <w:rsid w:val="00AF5398"/>
    <w:rsid w:val="00B049AF"/>
    <w:rsid w:val="00B07242"/>
    <w:rsid w:val="00B10534"/>
    <w:rsid w:val="00B108DA"/>
    <w:rsid w:val="00B113DB"/>
    <w:rsid w:val="00B11D8A"/>
    <w:rsid w:val="00B12981"/>
    <w:rsid w:val="00B147DD"/>
    <w:rsid w:val="00B156FD"/>
    <w:rsid w:val="00B21F61"/>
    <w:rsid w:val="00B23045"/>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2120"/>
    <w:rsid w:val="00B54ABC"/>
    <w:rsid w:val="00B56FBE"/>
    <w:rsid w:val="00B62B58"/>
    <w:rsid w:val="00B65149"/>
    <w:rsid w:val="00B66567"/>
    <w:rsid w:val="00B66F52"/>
    <w:rsid w:val="00B66FE5"/>
    <w:rsid w:val="00B675B7"/>
    <w:rsid w:val="00B72880"/>
    <w:rsid w:val="00B758BF"/>
    <w:rsid w:val="00B827A6"/>
    <w:rsid w:val="00B831CE"/>
    <w:rsid w:val="00B86677"/>
    <w:rsid w:val="00B87131"/>
    <w:rsid w:val="00B9127B"/>
    <w:rsid w:val="00B91566"/>
    <w:rsid w:val="00B9320C"/>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6082"/>
    <w:rsid w:val="00BE22F3"/>
    <w:rsid w:val="00BE49EE"/>
    <w:rsid w:val="00BE5B52"/>
    <w:rsid w:val="00BE7B8D"/>
    <w:rsid w:val="00BF0993"/>
    <w:rsid w:val="00BF10A9"/>
    <w:rsid w:val="00BF1703"/>
    <w:rsid w:val="00BF1D0D"/>
    <w:rsid w:val="00BF231C"/>
    <w:rsid w:val="00BF51E5"/>
    <w:rsid w:val="00BF74A6"/>
    <w:rsid w:val="00C013AD"/>
    <w:rsid w:val="00C04904"/>
    <w:rsid w:val="00C056B3"/>
    <w:rsid w:val="00C103E5"/>
    <w:rsid w:val="00C13319"/>
    <w:rsid w:val="00C13EE9"/>
    <w:rsid w:val="00C14D87"/>
    <w:rsid w:val="00C21540"/>
    <w:rsid w:val="00C21906"/>
    <w:rsid w:val="00C21BFA"/>
    <w:rsid w:val="00C24C8D"/>
    <w:rsid w:val="00C25FE2"/>
    <w:rsid w:val="00C26B53"/>
    <w:rsid w:val="00C279B2"/>
    <w:rsid w:val="00C33E50"/>
    <w:rsid w:val="00C34C20"/>
    <w:rsid w:val="00C35A3E"/>
    <w:rsid w:val="00C42130"/>
    <w:rsid w:val="00C423A4"/>
    <w:rsid w:val="00C44BF5"/>
    <w:rsid w:val="00C55232"/>
    <w:rsid w:val="00C553A4"/>
    <w:rsid w:val="00C55A06"/>
    <w:rsid w:val="00C55D03"/>
    <w:rsid w:val="00C601BC"/>
    <w:rsid w:val="00C6329F"/>
    <w:rsid w:val="00C63340"/>
    <w:rsid w:val="00C643F9"/>
    <w:rsid w:val="00C64E95"/>
    <w:rsid w:val="00C655FD"/>
    <w:rsid w:val="00C6789D"/>
    <w:rsid w:val="00C71372"/>
    <w:rsid w:val="00C72410"/>
    <w:rsid w:val="00C7287F"/>
    <w:rsid w:val="00C72F0E"/>
    <w:rsid w:val="00C80CB8"/>
    <w:rsid w:val="00C819F8"/>
    <w:rsid w:val="00C8248C"/>
    <w:rsid w:val="00C84E33"/>
    <w:rsid w:val="00C86D6F"/>
    <w:rsid w:val="00C905FC"/>
    <w:rsid w:val="00C92D03"/>
    <w:rsid w:val="00C9319C"/>
    <w:rsid w:val="00C9435D"/>
    <w:rsid w:val="00C9517F"/>
    <w:rsid w:val="00C96741"/>
    <w:rsid w:val="00CA2D1B"/>
    <w:rsid w:val="00CA482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D28"/>
    <w:rsid w:val="00CE30EA"/>
    <w:rsid w:val="00CF048A"/>
    <w:rsid w:val="00CF155A"/>
    <w:rsid w:val="00CF2947"/>
    <w:rsid w:val="00CF44B1"/>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52A2"/>
    <w:rsid w:val="00D40A83"/>
    <w:rsid w:val="00D4162B"/>
    <w:rsid w:val="00D4514F"/>
    <w:rsid w:val="00D451E2"/>
    <w:rsid w:val="00D4545E"/>
    <w:rsid w:val="00D45E89"/>
    <w:rsid w:val="00D45E8D"/>
    <w:rsid w:val="00D466AE"/>
    <w:rsid w:val="00D4734F"/>
    <w:rsid w:val="00D51BF3"/>
    <w:rsid w:val="00D63276"/>
    <w:rsid w:val="00D66846"/>
    <w:rsid w:val="00D675FB"/>
    <w:rsid w:val="00D71F25"/>
    <w:rsid w:val="00D77031"/>
    <w:rsid w:val="00D84941"/>
    <w:rsid w:val="00D84FA1"/>
    <w:rsid w:val="00D851F0"/>
    <w:rsid w:val="00D86DB7"/>
    <w:rsid w:val="00D926D0"/>
    <w:rsid w:val="00D93030"/>
    <w:rsid w:val="00D950E1"/>
    <w:rsid w:val="00D952A6"/>
    <w:rsid w:val="00D97F99"/>
    <w:rsid w:val="00DA19E7"/>
    <w:rsid w:val="00DA1E08"/>
    <w:rsid w:val="00DA24F8"/>
    <w:rsid w:val="00DA28E8"/>
    <w:rsid w:val="00DA38D3"/>
    <w:rsid w:val="00DA3932"/>
    <w:rsid w:val="00DA64F8"/>
    <w:rsid w:val="00DA6C15"/>
    <w:rsid w:val="00DA7370"/>
    <w:rsid w:val="00DB0BF7"/>
    <w:rsid w:val="00DB38EE"/>
    <w:rsid w:val="00DB498B"/>
    <w:rsid w:val="00DB66CA"/>
    <w:rsid w:val="00DB6BCA"/>
    <w:rsid w:val="00DC0321"/>
    <w:rsid w:val="00DC3067"/>
    <w:rsid w:val="00DC370B"/>
    <w:rsid w:val="00DC5B90"/>
    <w:rsid w:val="00DD00F2"/>
    <w:rsid w:val="00DD00FF"/>
    <w:rsid w:val="00DD0619"/>
    <w:rsid w:val="00DD07FB"/>
    <w:rsid w:val="00DD25C6"/>
    <w:rsid w:val="00DD54B0"/>
    <w:rsid w:val="00DD57EE"/>
    <w:rsid w:val="00DD6BCC"/>
    <w:rsid w:val="00DE0A4B"/>
    <w:rsid w:val="00DE2410"/>
    <w:rsid w:val="00DE2939"/>
    <w:rsid w:val="00DE51F0"/>
    <w:rsid w:val="00DE6E81"/>
    <w:rsid w:val="00DE703F"/>
    <w:rsid w:val="00DE7595"/>
    <w:rsid w:val="00DF15BE"/>
    <w:rsid w:val="00DF1961"/>
    <w:rsid w:val="00DF44DE"/>
    <w:rsid w:val="00E01138"/>
    <w:rsid w:val="00E02DFB"/>
    <w:rsid w:val="00E030F9"/>
    <w:rsid w:val="00E0311A"/>
    <w:rsid w:val="00E03138"/>
    <w:rsid w:val="00E06404"/>
    <w:rsid w:val="00E11A85"/>
    <w:rsid w:val="00E12495"/>
    <w:rsid w:val="00E15CCD"/>
    <w:rsid w:val="00E202EF"/>
    <w:rsid w:val="00E20878"/>
    <w:rsid w:val="00E210B5"/>
    <w:rsid w:val="00E2552F"/>
    <w:rsid w:val="00E3137A"/>
    <w:rsid w:val="00E32CCF"/>
    <w:rsid w:val="00E34A98"/>
    <w:rsid w:val="00E35D1E"/>
    <w:rsid w:val="00E364F9"/>
    <w:rsid w:val="00E365FA"/>
    <w:rsid w:val="00E40C94"/>
    <w:rsid w:val="00E44A83"/>
    <w:rsid w:val="00E502C1"/>
    <w:rsid w:val="00E502DD"/>
    <w:rsid w:val="00E50D3A"/>
    <w:rsid w:val="00E51387"/>
    <w:rsid w:val="00E51E68"/>
    <w:rsid w:val="00E52EFD"/>
    <w:rsid w:val="00E5408A"/>
    <w:rsid w:val="00E56800"/>
    <w:rsid w:val="00E60CD7"/>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679"/>
    <w:rsid w:val="00EA58D1"/>
    <w:rsid w:val="00EA61BC"/>
    <w:rsid w:val="00EA681A"/>
    <w:rsid w:val="00EA735B"/>
    <w:rsid w:val="00EB1E69"/>
    <w:rsid w:val="00EB2086"/>
    <w:rsid w:val="00EB5EDF"/>
    <w:rsid w:val="00EB60FE"/>
    <w:rsid w:val="00EB74DB"/>
    <w:rsid w:val="00EC5359"/>
    <w:rsid w:val="00EC562A"/>
    <w:rsid w:val="00EC5E01"/>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6BD"/>
    <w:rsid w:val="00F157A9"/>
    <w:rsid w:val="00F25BB6"/>
    <w:rsid w:val="00F26B7E"/>
    <w:rsid w:val="00F27A3B"/>
    <w:rsid w:val="00F33817"/>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84934"/>
    <w:rsid w:val="00F84FD0"/>
    <w:rsid w:val="00F859A8"/>
    <w:rsid w:val="00F9108B"/>
    <w:rsid w:val="00F91349"/>
    <w:rsid w:val="00F93A8A"/>
    <w:rsid w:val="00F95248"/>
    <w:rsid w:val="00F956A9"/>
    <w:rsid w:val="00F963ED"/>
    <w:rsid w:val="00F966CF"/>
    <w:rsid w:val="00F96CAE"/>
    <w:rsid w:val="00F97C99"/>
    <w:rsid w:val="00FA662D"/>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4BCE"/>
    <w:rsid w:val="00FE54AE"/>
    <w:rsid w:val="00FE576A"/>
    <w:rsid w:val="00FE61CF"/>
    <w:rsid w:val="00FE7E79"/>
    <w:rsid w:val="00FF3E7D"/>
    <w:rsid w:val="00FF5B99"/>
    <w:rsid w:val="00FF730C"/>
    <w:rsid w:val="00FF73F4"/>
    <w:rsid w:val="00FF7CE4"/>
    <w:rsid w:val="00FF7E39"/>
    <w:rsid w:val="737D6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uiPriority w:val="0"/>
    <w:rPr>
      <w:rFonts w:ascii="Times New Roman" w:hAnsi="Times New Roman" w:eastAsia="宋体" w:cs="Times New Roman"/>
      <w:b/>
      <w:bCs/>
      <w:kern w:val="44"/>
      <w:sz w:val="44"/>
      <w:szCs w:val="44"/>
    </w:rPr>
  </w:style>
  <w:style w:type="character" w:customStyle="1" w:styleId="35">
    <w:name w:val="标题 2 字符"/>
    <w:link w:val="3"/>
    <w:uiPriority w:val="0"/>
    <w:rPr>
      <w:rFonts w:ascii="Arial" w:hAnsi="Arial" w:eastAsia="黑体" w:cs="Times New Roman"/>
      <w:b/>
      <w:bCs/>
      <w:sz w:val="32"/>
      <w:szCs w:val="32"/>
    </w:rPr>
  </w:style>
  <w:style w:type="character" w:customStyle="1" w:styleId="36">
    <w:name w:val="标题 3 字符"/>
    <w:link w:val="4"/>
    <w:uiPriority w:val="0"/>
    <w:rPr>
      <w:rFonts w:ascii="Times New Roman" w:hAnsi="Times New Roman" w:eastAsia="宋体" w:cs="Times New Roman"/>
      <w:b/>
      <w:bCs/>
      <w:sz w:val="32"/>
      <w:szCs w:val="32"/>
    </w:rPr>
  </w:style>
  <w:style w:type="character" w:customStyle="1" w:styleId="37">
    <w:name w:val="标题 4 字符"/>
    <w:link w:val="5"/>
    <w:uiPriority w:val="0"/>
    <w:rPr>
      <w:rFonts w:ascii="Arial" w:hAnsi="Arial" w:eastAsia="黑体" w:cs="Times New Roman"/>
      <w:b/>
      <w:bCs/>
      <w:sz w:val="28"/>
      <w:szCs w:val="28"/>
    </w:rPr>
  </w:style>
  <w:style w:type="character" w:customStyle="1" w:styleId="38">
    <w:name w:val="标题 5 字符"/>
    <w:link w:val="6"/>
    <w:uiPriority w:val="0"/>
    <w:rPr>
      <w:rFonts w:ascii="Times New Roman" w:hAnsi="Times New Roman" w:eastAsia="宋体" w:cs="Times New Roman"/>
      <w:b/>
      <w:bCs/>
      <w:sz w:val="28"/>
      <w:szCs w:val="28"/>
    </w:rPr>
  </w:style>
  <w:style w:type="character" w:customStyle="1" w:styleId="39">
    <w:name w:val="标题 6 字符"/>
    <w:link w:val="7"/>
    <w:uiPriority w:val="0"/>
    <w:rPr>
      <w:rFonts w:ascii="Arial" w:hAnsi="Arial" w:eastAsia="黑体" w:cs="Times New Roman"/>
      <w:b/>
      <w:bCs/>
      <w:sz w:val="24"/>
      <w:szCs w:val="24"/>
    </w:rPr>
  </w:style>
  <w:style w:type="character" w:customStyle="1" w:styleId="40">
    <w:name w:val="标题 7 字符"/>
    <w:link w:val="8"/>
    <w:uiPriority w:val="0"/>
    <w:rPr>
      <w:rFonts w:ascii="Times New Roman" w:hAnsi="Times New Roman" w:eastAsia="宋体" w:cs="Times New Roman"/>
      <w:b/>
      <w:bCs/>
      <w:sz w:val="24"/>
      <w:szCs w:val="24"/>
    </w:rPr>
  </w:style>
  <w:style w:type="character" w:customStyle="1" w:styleId="41">
    <w:name w:val="标题 8 字符"/>
    <w:link w:val="9"/>
    <w:uiPriority w:val="0"/>
    <w:rPr>
      <w:rFonts w:ascii="Arial" w:hAnsi="Arial" w:eastAsia="黑体" w:cs="Times New Roman"/>
      <w:sz w:val="24"/>
      <w:szCs w:val="24"/>
    </w:rPr>
  </w:style>
  <w:style w:type="character" w:customStyle="1" w:styleId="42">
    <w:name w:val="标题 9 字符"/>
    <w:link w:val="10"/>
    <w:uiPriority w:val="0"/>
    <w:rPr>
      <w:rFonts w:ascii="Arial" w:hAnsi="Arial" w:eastAsia="黑体" w:cs="Times New Roman"/>
      <w:szCs w:val="21"/>
    </w:rPr>
  </w:style>
  <w:style w:type="character" w:customStyle="1" w:styleId="43">
    <w:name w:val="页眉 字符"/>
    <w:link w:val="18"/>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tiff"/><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44E8D8E137A48FD98EE9C0872114C1F"/>
        <w:style w:val=""/>
        <w:category>
          <w:name w:val="常规"/>
          <w:gallery w:val="placeholder"/>
        </w:category>
        <w:types>
          <w:type w:val="bbPlcHdr"/>
        </w:types>
        <w:behaviors>
          <w:behavior w:val="content"/>
        </w:behaviors>
        <w:description w:val=""/>
        <w:guid w:val="{B6638D52-76CB-495D-B586-8BDF6D48126F}"/>
      </w:docPartPr>
      <w:docPartBody>
        <w:p w14:paraId="0E928FA6">
          <w:pPr>
            <w:pStyle w:val="5"/>
            <w:rPr>
              <w:rFonts w:hint="eastAsia"/>
            </w:rPr>
          </w:pPr>
          <w:r>
            <w:rPr>
              <w:rStyle w:val="4"/>
              <w:rFonts w:hint="eastAsia"/>
            </w:rPr>
            <w:t>单击或点击此处输入文字。</w:t>
          </w:r>
        </w:p>
      </w:docPartBody>
    </w:docPart>
    <w:docPart>
      <w:docPartPr>
        <w:name w:val="23AE4607E4A84F9BA872C81D427F3919"/>
        <w:style w:val=""/>
        <w:category>
          <w:name w:val="常规"/>
          <w:gallery w:val="placeholder"/>
        </w:category>
        <w:types>
          <w:type w:val="bbPlcHdr"/>
        </w:types>
        <w:behaviors>
          <w:behavior w:val="content"/>
        </w:behaviors>
        <w:description w:val=""/>
        <w:guid w:val="{3C208799-1C05-4B06-991A-F0034F3F54F2}"/>
      </w:docPartPr>
      <w:docPartBody>
        <w:p w14:paraId="2E56C4B2">
          <w:pPr>
            <w:pStyle w:val="6"/>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F70"/>
    <w:rsid w:val="00001744"/>
    <w:rsid w:val="00132098"/>
    <w:rsid w:val="001D1A76"/>
    <w:rsid w:val="006178BB"/>
    <w:rsid w:val="00BC7FE0"/>
    <w:rsid w:val="00C6789D"/>
    <w:rsid w:val="00DD2F70"/>
    <w:rsid w:val="00EB0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344E8D8E137A48FD98EE9C0872114C1F"/>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23AE4607E4A84F9BA872C81D427F3919"/>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230EFA-3F40-4753-8853-532FE0C59DFA}">
  <ds:schemaRefs/>
</ds:datastoreItem>
</file>

<file path=docProps/app.xml><?xml version="1.0" encoding="utf-8"?>
<Properties xmlns="http://schemas.openxmlformats.org/officeDocument/2006/extended-properties" xmlns:vt="http://schemas.openxmlformats.org/officeDocument/2006/docPropsVTypes">
  <Template>国家标准</Template>
  <Company>PCMI</Company>
  <Pages>9</Pages>
  <Words>2788</Words>
  <Characters>3277</Characters>
  <Lines>262</Lines>
  <Paragraphs>325</Paragraphs>
  <TotalTime>162</TotalTime>
  <ScaleCrop>false</ScaleCrop>
  <LinksUpToDate>false</LinksUpToDate>
  <CharactersWithSpaces>3431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2026-01-26T06:35:00Z</dcterms:created>
  <dc:creator>刘航</dc:creator>
  <dc:description>&lt;config cover="true" show_menu="true" version="1.0.0" doctype="SDKXY"&gt;_x000d_
&lt;/config&gt;</dc:description>
  <cp:lastModifiedBy>葛覃兮</cp:lastModifiedBy>
  <cp:lastPrinted>2021-02-02T07:44:00Z</cp:lastPrinted>
  <dcterms:modified xsi:type="dcterms:W3CDTF">2026-01-30T01:33:16Z</dcterms:modified>
  <dc:title>国家标准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eyJoZGlkIjoiZjAyN2E5ODRiYWVjZTllMzU3MmI2MjllMjg1MjgwOWIiLCJ1c2VySWQiOiIyNzU1MDY5MDgifQ==</vt:lpwstr>
  </property>
  <property fmtid="{D5CDD505-2E9C-101B-9397-08002B2CF9AE}" pid="15" name="KSOProductBuildVer">
    <vt:lpwstr>2052-12.1.0.19302</vt:lpwstr>
  </property>
  <property fmtid="{D5CDD505-2E9C-101B-9397-08002B2CF9AE}" pid="16" name="ICV">
    <vt:lpwstr>8F41EB1BC6184BDD8EFD94BD49CE4CCF_12</vt:lpwstr>
  </property>
</Properties>
</file>