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E796" w14:textId="77777777" w:rsidR="00D4394E" w:rsidRDefault="00D4394E">
      <w:pPr>
        <w:adjustRightInd w:val="0"/>
        <w:snapToGrid w:val="0"/>
        <w:spacing w:line="240" w:lineRule="auto"/>
        <w:jc w:val="center"/>
        <w:rPr>
          <w:rFonts w:eastAsia="黑体" w:cs="Times New Roman"/>
          <w:kern w:val="0"/>
          <w:sz w:val="36"/>
          <w:szCs w:val="24"/>
        </w:rPr>
      </w:pPr>
    </w:p>
    <w:p w14:paraId="260F2F13" w14:textId="77777777" w:rsidR="00D4394E" w:rsidRDefault="00D4394E">
      <w:pPr>
        <w:adjustRightInd w:val="0"/>
        <w:snapToGrid w:val="0"/>
        <w:spacing w:line="240" w:lineRule="auto"/>
        <w:jc w:val="center"/>
        <w:rPr>
          <w:rFonts w:eastAsia="黑体" w:cs="Times New Roman"/>
          <w:kern w:val="0"/>
          <w:sz w:val="36"/>
          <w:szCs w:val="24"/>
        </w:rPr>
      </w:pPr>
    </w:p>
    <w:p w14:paraId="2F8DAD9E" w14:textId="77777777" w:rsidR="00D4394E" w:rsidRDefault="00D4394E">
      <w:pPr>
        <w:adjustRightInd w:val="0"/>
        <w:snapToGrid w:val="0"/>
        <w:spacing w:line="240" w:lineRule="auto"/>
        <w:jc w:val="center"/>
        <w:rPr>
          <w:rFonts w:eastAsia="黑体" w:cs="Times New Roman"/>
          <w:kern w:val="0"/>
          <w:sz w:val="36"/>
          <w:szCs w:val="24"/>
        </w:rPr>
      </w:pPr>
    </w:p>
    <w:p w14:paraId="694A4556" w14:textId="77777777" w:rsidR="00D4394E" w:rsidRDefault="00D4394E">
      <w:pPr>
        <w:adjustRightInd w:val="0"/>
        <w:snapToGrid w:val="0"/>
        <w:spacing w:line="240" w:lineRule="auto"/>
        <w:jc w:val="center"/>
        <w:rPr>
          <w:rFonts w:eastAsia="黑体" w:cs="Times New Roman"/>
          <w:kern w:val="0"/>
          <w:sz w:val="36"/>
          <w:szCs w:val="24"/>
        </w:rPr>
      </w:pPr>
    </w:p>
    <w:p w14:paraId="6152E442" w14:textId="77777777" w:rsidR="00D4394E" w:rsidRDefault="00D4394E">
      <w:pPr>
        <w:adjustRightInd w:val="0"/>
        <w:snapToGrid w:val="0"/>
        <w:spacing w:line="240" w:lineRule="auto"/>
        <w:jc w:val="center"/>
        <w:rPr>
          <w:rFonts w:eastAsia="黑体" w:cs="Times New Roman"/>
          <w:kern w:val="0"/>
          <w:sz w:val="36"/>
          <w:szCs w:val="24"/>
        </w:rPr>
      </w:pPr>
    </w:p>
    <w:p w14:paraId="440BA705" w14:textId="77777777" w:rsidR="00D4394E" w:rsidRDefault="00000000">
      <w:pPr>
        <w:adjustRightInd w:val="0"/>
        <w:snapToGrid w:val="0"/>
        <w:spacing w:beforeLines="100" w:before="326" w:line="240" w:lineRule="auto"/>
        <w:jc w:val="center"/>
        <w:rPr>
          <w:rFonts w:eastAsia="黑体" w:cs="Times New Roman"/>
          <w:kern w:val="0"/>
          <w:sz w:val="40"/>
          <w:szCs w:val="24"/>
        </w:rPr>
      </w:pPr>
      <w:r>
        <w:rPr>
          <w:rFonts w:eastAsia="黑体" w:cs="Times New Roman"/>
          <w:kern w:val="0"/>
          <w:sz w:val="40"/>
          <w:szCs w:val="24"/>
        </w:rPr>
        <w:t>GB 37487—2026</w:t>
      </w:r>
    </w:p>
    <w:p w14:paraId="0E134C00" w14:textId="77777777" w:rsidR="00D4394E" w:rsidRDefault="00000000">
      <w:pPr>
        <w:adjustRightInd w:val="0"/>
        <w:snapToGrid w:val="0"/>
        <w:spacing w:beforeLines="100" w:before="326" w:line="240" w:lineRule="auto"/>
        <w:jc w:val="center"/>
        <w:rPr>
          <w:rFonts w:eastAsia="黑体" w:cs="Times New Roman"/>
          <w:kern w:val="0"/>
          <w:sz w:val="40"/>
          <w:szCs w:val="24"/>
        </w:rPr>
      </w:pPr>
      <w:r>
        <w:rPr>
          <w:rFonts w:eastAsia="黑体" w:cs="Times New Roman" w:hint="eastAsia"/>
          <w:kern w:val="0"/>
          <w:sz w:val="40"/>
          <w:szCs w:val="24"/>
        </w:rPr>
        <w:t>《公共场所卫生管理规范》</w:t>
      </w:r>
    </w:p>
    <w:p w14:paraId="15576608" w14:textId="77777777" w:rsidR="00D4394E" w:rsidRDefault="00D4394E">
      <w:pPr>
        <w:adjustRightInd w:val="0"/>
        <w:snapToGrid w:val="0"/>
        <w:spacing w:line="240" w:lineRule="auto"/>
        <w:jc w:val="center"/>
        <w:rPr>
          <w:rFonts w:eastAsia="黑体" w:cs="Times New Roman"/>
          <w:kern w:val="0"/>
          <w:sz w:val="36"/>
          <w:szCs w:val="24"/>
        </w:rPr>
      </w:pPr>
    </w:p>
    <w:p w14:paraId="54F20610" w14:textId="77777777" w:rsidR="00D4394E" w:rsidRDefault="00000000">
      <w:pPr>
        <w:adjustRightInd w:val="0"/>
        <w:snapToGrid w:val="0"/>
        <w:spacing w:line="240" w:lineRule="auto"/>
        <w:jc w:val="center"/>
        <w:rPr>
          <w:rFonts w:eastAsia="黑体" w:cs="Times New Roman"/>
          <w:kern w:val="0"/>
          <w:sz w:val="32"/>
          <w:szCs w:val="24"/>
        </w:rPr>
      </w:pPr>
      <w:r>
        <w:rPr>
          <w:rFonts w:eastAsia="黑体" w:cs="Times New Roman" w:hint="eastAsia"/>
          <w:kern w:val="0"/>
          <w:sz w:val="32"/>
          <w:szCs w:val="24"/>
        </w:rPr>
        <w:t>编制说明</w:t>
      </w:r>
    </w:p>
    <w:p w14:paraId="63DF86C0" w14:textId="77777777" w:rsidR="00D4394E" w:rsidRDefault="00D4394E">
      <w:pPr>
        <w:spacing w:line="480" w:lineRule="auto"/>
        <w:jc w:val="center"/>
        <w:rPr>
          <w:rFonts w:eastAsia="黑体" w:cs="Times New Roman"/>
          <w:sz w:val="28"/>
          <w:szCs w:val="21"/>
          <w:lang w:val="zh-CN"/>
        </w:rPr>
      </w:pPr>
    </w:p>
    <w:p w14:paraId="11416605" w14:textId="77777777" w:rsidR="00D4394E" w:rsidRDefault="00D4394E">
      <w:pPr>
        <w:spacing w:line="480" w:lineRule="auto"/>
        <w:jc w:val="center"/>
        <w:rPr>
          <w:rFonts w:eastAsia="黑体" w:cs="Times New Roman"/>
          <w:sz w:val="28"/>
          <w:szCs w:val="21"/>
          <w:lang w:val="zh-CN"/>
        </w:rPr>
      </w:pPr>
    </w:p>
    <w:p w14:paraId="14F3815F" w14:textId="77777777" w:rsidR="00D4394E" w:rsidRDefault="00D4394E">
      <w:pPr>
        <w:spacing w:line="480" w:lineRule="auto"/>
        <w:jc w:val="center"/>
        <w:rPr>
          <w:rFonts w:eastAsia="黑体" w:cs="Times New Roman"/>
          <w:sz w:val="28"/>
          <w:szCs w:val="21"/>
          <w:lang w:val="zh-CN"/>
        </w:rPr>
      </w:pPr>
    </w:p>
    <w:p w14:paraId="5CB6CBCA" w14:textId="77777777" w:rsidR="00D4394E" w:rsidRDefault="00D4394E">
      <w:pPr>
        <w:spacing w:line="480" w:lineRule="auto"/>
        <w:jc w:val="center"/>
        <w:rPr>
          <w:rFonts w:eastAsia="黑体" w:cs="Times New Roman"/>
          <w:sz w:val="28"/>
          <w:szCs w:val="21"/>
          <w:lang w:val="zh-CN"/>
        </w:rPr>
      </w:pPr>
    </w:p>
    <w:p w14:paraId="6BB4D9A6" w14:textId="77777777" w:rsidR="00D4394E" w:rsidRDefault="00D4394E">
      <w:pPr>
        <w:spacing w:line="480" w:lineRule="auto"/>
        <w:jc w:val="center"/>
        <w:rPr>
          <w:rFonts w:eastAsia="黑体" w:cs="Times New Roman"/>
          <w:sz w:val="28"/>
          <w:szCs w:val="21"/>
          <w:lang w:val="zh-CN"/>
        </w:rPr>
      </w:pPr>
    </w:p>
    <w:p w14:paraId="140EAA45" w14:textId="77777777" w:rsidR="00D4394E" w:rsidRDefault="00D4394E">
      <w:pPr>
        <w:spacing w:line="480" w:lineRule="auto"/>
        <w:jc w:val="center"/>
        <w:rPr>
          <w:rFonts w:eastAsia="黑体" w:cs="Times New Roman"/>
          <w:sz w:val="28"/>
          <w:szCs w:val="21"/>
          <w:lang w:val="zh-CN"/>
        </w:rPr>
      </w:pPr>
    </w:p>
    <w:p w14:paraId="11A6E160" w14:textId="77777777" w:rsidR="00D4394E" w:rsidRDefault="00D4394E">
      <w:pPr>
        <w:spacing w:line="480" w:lineRule="auto"/>
        <w:jc w:val="center"/>
        <w:rPr>
          <w:rFonts w:eastAsia="黑体" w:cs="Times New Roman"/>
          <w:sz w:val="28"/>
          <w:szCs w:val="21"/>
          <w:lang w:val="zh-CN"/>
        </w:rPr>
      </w:pPr>
    </w:p>
    <w:p w14:paraId="4A20DE37" w14:textId="77777777" w:rsidR="00D4394E" w:rsidRDefault="00D4394E">
      <w:pPr>
        <w:spacing w:line="480" w:lineRule="auto"/>
        <w:jc w:val="center"/>
        <w:rPr>
          <w:rFonts w:eastAsia="黑体" w:cs="Times New Roman"/>
          <w:sz w:val="28"/>
          <w:szCs w:val="21"/>
          <w:lang w:val="zh-CN"/>
        </w:rPr>
      </w:pPr>
    </w:p>
    <w:p w14:paraId="69F9C29D" w14:textId="77777777" w:rsidR="00D4394E" w:rsidRDefault="00D4394E">
      <w:pPr>
        <w:spacing w:line="480" w:lineRule="auto"/>
        <w:jc w:val="center"/>
        <w:rPr>
          <w:rFonts w:eastAsia="黑体" w:cs="Times New Roman"/>
          <w:sz w:val="28"/>
          <w:szCs w:val="21"/>
          <w:lang w:val="zh-CN"/>
        </w:rPr>
      </w:pPr>
    </w:p>
    <w:p w14:paraId="2DABEAAF" w14:textId="77777777" w:rsidR="00D4394E" w:rsidRDefault="00D4394E">
      <w:pPr>
        <w:spacing w:line="480" w:lineRule="auto"/>
        <w:jc w:val="center"/>
        <w:rPr>
          <w:rFonts w:eastAsia="黑体" w:cs="Times New Roman"/>
          <w:sz w:val="28"/>
          <w:szCs w:val="21"/>
          <w:lang w:val="zh-CN"/>
        </w:rPr>
      </w:pPr>
    </w:p>
    <w:p w14:paraId="375719C3" w14:textId="77777777" w:rsidR="00D4394E" w:rsidRDefault="00D4394E">
      <w:pPr>
        <w:spacing w:line="480" w:lineRule="auto"/>
        <w:jc w:val="center"/>
        <w:rPr>
          <w:rFonts w:eastAsia="楷体" w:cs="Times New Roman"/>
          <w:sz w:val="28"/>
          <w:szCs w:val="21"/>
          <w:lang w:val="zh-CN"/>
        </w:rPr>
      </w:pPr>
    </w:p>
    <w:p w14:paraId="23840DAE" w14:textId="77777777" w:rsidR="00D4394E" w:rsidRDefault="00D4394E">
      <w:pPr>
        <w:spacing w:line="480" w:lineRule="auto"/>
        <w:jc w:val="center"/>
        <w:rPr>
          <w:rFonts w:eastAsia="楷体" w:cs="Times New Roman"/>
          <w:sz w:val="28"/>
          <w:szCs w:val="21"/>
          <w:lang w:val="zh-CN"/>
        </w:rPr>
      </w:pPr>
    </w:p>
    <w:p w14:paraId="1C0D9CC3" w14:textId="77777777" w:rsidR="00D4394E" w:rsidRDefault="00000000">
      <w:pPr>
        <w:adjustRightInd w:val="0"/>
        <w:snapToGrid w:val="0"/>
        <w:spacing w:line="240" w:lineRule="auto"/>
        <w:ind w:left="1423" w:right="1419"/>
        <w:jc w:val="center"/>
        <w:rPr>
          <w:rFonts w:eastAsia="楷体" w:cs="Times New Roman"/>
          <w:sz w:val="28"/>
          <w:szCs w:val="21"/>
          <w:lang w:val="zh-CN"/>
        </w:rPr>
      </w:pPr>
      <w:r>
        <w:rPr>
          <w:rFonts w:eastAsia="楷体" w:cs="Times New Roman" w:hint="eastAsia"/>
          <w:b/>
          <w:bCs/>
          <w:sz w:val="28"/>
          <w:szCs w:val="28"/>
        </w:rPr>
        <w:t>标准编制组</w:t>
      </w:r>
    </w:p>
    <w:p w14:paraId="5143A26E" w14:textId="77777777" w:rsidR="00D4394E" w:rsidRDefault="00000000">
      <w:pPr>
        <w:jc w:val="center"/>
        <w:rPr>
          <w:rFonts w:eastAsia="楷体" w:cs="Times New Roman"/>
          <w:sz w:val="28"/>
          <w:szCs w:val="21"/>
          <w:lang w:val="zh-CN"/>
        </w:rPr>
      </w:pPr>
      <w:r>
        <w:rPr>
          <w:rFonts w:eastAsia="楷体" w:cs="Times New Roman" w:hint="eastAsia"/>
          <w:sz w:val="28"/>
          <w:szCs w:val="21"/>
          <w:lang w:val="zh-CN"/>
        </w:rPr>
        <w:t>二〇二</w:t>
      </w:r>
      <w:r>
        <w:rPr>
          <w:rFonts w:eastAsia="楷体" w:cs="Times New Roman" w:hint="eastAsia"/>
          <w:sz w:val="28"/>
          <w:szCs w:val="21"/>
        </w:rPr>
        <w:t>六</w:t>
      </w:r>
      <w:r>
        <w:rPr>
          <w:rFonts w:eastAsia="楷体" w:cs="Times New Roman" w:hint="eastAsia"/>
          <w:sz w:val="28"/>
          <w:szCs w:val="21"/>
          <w:lang w:val="zh-CN"/>
        </w:rPr>
        <w:t>年</w:t>
      </w:r>
      <w:r>
        <w:rPr>
          <w:rFonts w:eastAsia="楷体" w:cs="Times New Roman" w:hint="eastAsia"/>
          <w:sz w:val="28"/>
          <w:szCs w:val="21"/>
        </w:rPr>
        <w:t>二</w:t>
      </w:r>
      <w:r>
        <w:rPr>
          <w:rFonts w:eastAsia="楷体" w:cs="Times New Roman" w:hint="eastAsia"/>
          <w:sz w:val="28"/>
          <w:szCs w:val="21"/>
          <w:lang w:val="zh-CN"/>
        </w:rPr>
        <w:t>月</w:t>
      </w:r>
    </w:p>
    <w:p w14:paraId="2ABB3BA4" w14:textId="77777777" w:rsidR="00D4394E" w:rsidRDefault="00D4394E">
      <w:pPr>
        <w:jc w:val="center"/>
        <w:rPr>
          <w:rFonts w:eastAsia="楷体" w:cs="Times New Roman"/>
          <w:sz w:val="28"/>
          <w:szCs w:val="21"/>
          <w:lang w:val="zh-CN"/>
        </w:rPr>
      </w:pPr>
    </w:p>
    <w:sdt>
      <w:sdtPr>
        <w:rPr>
          <w:rFonts w:ascii="宋体" w:eastAsia="宋体" w:hAnsi="宋体"/>
          <w:sz w:val="21"/>
        </w:rPr>
        <w:id w:val="147483200"/>
        <w15:color w:val="DBDBDB"/>
        <w:docPartObj>
          <w:docPartGallery w:val="Table of Contents"/>
          <w:docPartUnique/>
        </w:docPartObj>
      </w:sdtPr>
      <w:sdtEndPr>
        <w:rPr>
          <w:rFonts w:ascii="Times New Roman" w:hAnsi="Times New Roman" w:cs="Times New Roman"/>
          <w:sz w:val="24"/>
          <w:szCs w:val="20"/>
          <w:lang w:val="zh-CN"/>
        </w:rPr>
      </w:sdtEndPr>
      <w:sdtContent>
        <w:p w14:paraId="6BEBC8B5" w14:textId="77777777" w:rsidR="00D4394E" w:rsidRDefault="00000000">
          <w:pPr>
            <w:spacing w:line="240" w:lineRule="auto"/>
            <w:jc w:val="center"/>
            <w:rPr>
              <w:sz w:val="21"/>
              <w:szCs w:val="21"/>
            </w:rPr>
          </w:pPr>
          <w:r>
            <w:rPr>
              <w:rFonts w:ascii="宋体" w:eastAsia="宋体" w:hAnsi="宋体"/>
              <w:b/>
              <w:bCs/>
              <w:szCs w:val="24"/>
            </w:rPr>
            <w:t>目 录</w:t>
          </w:r>
        </w:p>
        <w:p w14:paraId="4F7FC88E" w14:textId="77777777" w:rsidR="00D4394E" w:rsidRDefault="00000000">
          <w:pPr>
            <w:pStyle w:val="TOC1"/>
            <w:tabs>
              <w:tab w:val="right" w:leader="dot" w:pos="8306"/>
            </w:tabs>
          </w:pPr>
          <w:r>
            <w:rPr>
              <w:rFonts w:eastAsia="宋体" w:cs="Times New Roman"/>
              <w:szCs w:val="21"/>
              <w:lang w:val="zh-CN"/>
            </w:rPr>
            <w:fldChar w:fldCharType="begin"/>
          </w:r>
          <w:r>
            <w:rPr>
              <w:rFonts w:eastAsia="宋体" w:cs="Times New Roman"/>
              <w:szCs w:val="21"/>
              <w:lang w:val="zh-CN"/>
            </w:rPr>
            <w:instrText xml:space="preserve">TOC \o "1-3" \h \u </w:instrText>
          </w:r>
          <w:r>
            <w:rPr>
              <w:rFonts w:eastAsia="宋体" w:cs="Times New Roman"/>
              <w:szCs w:val="21"/>
              <w:lang w:val="zh-CN"/>
            </w:rPr>
            <w:fldChar w:fldCharType="separate"/>
          </w:r>
          <w:hyperlink w:anchor="_Toc3639" w:history="1">
            <w:r>
              <w:rPr>
                <w:rFonts w:hint="eastAsia"/>
              </w:rPr>
              <w:t>一、工作简况</w:t>
            </w:r>
            <w:r>
              <w:tab/>
            </w:r>
            <w:r>
              <w:fldChar w:fldCharType="begin"/>
            </w:r>
            <w:r>
              <w:instrText xml:space="preserve"> PAGEREF _Toc3639 \h </w:instrText>
            </w:r>
            <w:r>
              <w:fldChar w:fldCharType="separate"/>
            </w:r>
            <w:r>
              <w:t>1</w:t>
            </w:r>
            <w:r>
              <w:fldChar w:fldCharType="end"/>
            </w:r>
          </w:hyperlink>
        </w:p>
        <w:p w14:paraId="743DD2B7" w14:textId="77777777" w:rsidR="00D4394E" w:rsidRDefault="00000000">
          <w:pPr>
            <w:pStyle w:val="TOC2"/>
            <w:tabs>
              <w:tab w:val="right" w:leader="dot" w:pos="8306"/>
            </w:tabs>
            <w:ind w:left="480"/>
          </w:pPr>
          <w:hyperlink w:anchor="_Toc15961" w:history="1">
            <w:r>
              <w:rPr>
                <w:rFonts w:hint="eastAsia"/>
              </w:rPr>
              <w:t>（一）任务来源</w:t>
            </w:r>
            <w:r>
              <w:tab/>
            </w:r>
            <w:r>
              <w:fldChar w:fldCharType="begin"/>
            </w:r>
            <w:r>
              <w:instrText xml:space="preserve"> PAGEREF _Toc15961 \h </w:instrText>
            </w:r>
            <w:r>
              <w:fldChar w:fldCharType="separate"/>
            </w:r>
            <w:r>
              <w:t>1</w:t>
            </w:r>
            <w:r>
              <w:fldChar w:fldCharType="end"/>
            </w:r>
          </w:hyperlink>
        </w:p>
        <w:p w14:paraId="02C99C3D" w14:textId="77777777" w:rsidR="00D4394E" w:rsidRDefault="00000000">
          <w:pPr>
            <w:pStyle w:val="TOC2"/>
            <w:tabs>
              <w:tab w:val="right" w:leader="dot" w:pos="8306"/>
            </w:tabs>
            <w:ind w:left="480"/>
          </w:pPr>
          <w:hyperlink w:anchor="_Toc29062" w:history="1">
            <w:r>
              <w:rPr>
                <w:rFonts w:hint="eastAsia"/>
              </w:rPr>
              <w:t>（二）起草人员及其所在单位</w:t>
            </w:r>
            <w:r>
              <w:tab/>
            </w:r>
            <w:r>
              <w:fldChar w:fldCharType="begin"/>
            </w:r>
            <w:r>
              <w:instrText xml:space="preserve"> PAGEREF _Toc29062 \h </w:instrText>
            </w:r>
            <w:r>
              <w:fldChar w:fldCharType="separate"/>
            </w:r>
            <w:r>
              <w:t>1</w:t>
            </w:r>
            <w:r>
              <w:fldChar w:fldCharType="end"/>
            </w:r>
          </w:hyperlink>
        </w:p>
        <w:p w14:paraId="0B7B770D" w14:textId="77777777" w:rsidR="00D4394E" w:rsidRDefault="00000000">
          <w:pPr>
            <w:pStyle w:val="TOC2"/>
            <w:tabs>
              <w:tab w:val="right" w:leader="dot" w:pos="8306"/>
            </w:tabs>
            <w:ind w:left="480"/>
          </w:pPr>
          <w:hyperlink w:anchor="_Toc21874" w:history="1">
            <w:r>
              <w:rPr>
                <w:rFonts w:hint="eastAsia"/>
              </w:rPr>
              <w:t>（三）起草过程</w:t>
            </w:r>
            <w:r>
              <w:tab/>
            </w:r>
            <w:r>
              <w:fldChar w:fldCharType="begin"/>
            </w:r>
            <w:r>
              <w:instrText xml:space="preserve"> PAGEREF _Toc21874 \h </w:instrText>
            </w:r>
            <w:r>
              <w:fldChar w:fldCharType="separate"/>
            </w:r>
            <w:r>
              <w:t>2</w:t>
            </w:r>
            <w:r>
              <w:fldChar w:fldCharType="end"/>
            </w:r>
          </w:hyperlink>
        </w:p>
        <w:p w14:paraId="1A92EB9E" w14:textId="77777777" w:rsidR="00D4394E" w:rsidRDefault="00000000">
          <w:pPr>
            <w:pStyle w:val="TOC1"/>
            <w:tabs>
              <w:tab w:val="right" w:leader="dot" w:pos="8306"/>
            </w:tabs>
          </w:pPr>
          <w:hyperlink w:anchor="_Toc6342" w:history="1">
            <w:r>
              <w:rPr>
                <w:rFonts w:hint="eastAsia"/>
              </w:rPr>
              <w:t>二、编制原则、强制性国家标准主要技术要求的依据及理由</w:t>
            </w:r>
            <w:r>
              <w:tab/>
            </w:r>
            <w:r>
              <w:fldChar w:fldCharType="begin"/>
            </w:r>
            <w:r>
              <w:instrText xml:space="preserve"> PAGEREF _Toc6342 \h </w:instrText>
            </w:r>
            <w:r>
              <w:fldChar w:fldCharType="separate"/>
            </w:r>
            <w:r>
              <w:t>3</w:t>
            </w:r>
            <w:r>
              <w:fldChar w:fldCharType="end"/>
            </w:r>
          </w:hyperlink>
        </w:p>
        <w:p w14:paraId="1165D838" w14:textId="77777777" w:rsidR="00D4394E" w:rsidRDefault="00000000">
          <w:pPr>
            <w:pStyle w:val="TOC2"/>
            <w:tabs>
              <w:tab w:val="right" w:leader="dot" w:pos="8306"/>
            </w:tabs>
            <w:ind w:left="480"/>
          </w:pPr>
          <w:hyperlink w:anchor="_Toc2870" w:history="1">
            <w:r>
              <w:rPr>
                <w:rFonts w:hint="eastAsia"/>
              </w:rPr>
              <w:t>（一）编制原则</w:t>
            </w:r>
            <w:r>
              <w:tab/>
            </w:r>
            <w:r>
              <w:fldChar w:fldCharType="begin"/>
            </w:r>
            <w:r>
              <w:instrText xml:space="preserve"> PAGEREF _Toc2870 \h </w:instrText>
            </w:r>
            <w:r>
              <w:fldChar w:fldCharType="separate"/>
            </w:r>
            <w:r>
              <w:t>3</w:t>
            </w:r>
            <w:r>
              <w:fldChar w:fldCharType="end"/>
            </w:r>
          </w:hyperlink>
        </w:p>
        <w:p w14:paraId="0B24A00C" w14:textId="77777777" w:rsidR="00D4394E" w:rsidRDefault="00000000">
          <w:pPr>
            <w:pStyle w:val="TOC2"/>
            <w:tabs>
              <w:tab w:val="right" w:leader="dot" w:pos="8306"/>
            </w:tabs>
            <w:ind w:left="480"/>
          </w:pPr>
          <w:hyperlink w:anchor="_Toc8593" w:history="1">
            <w:r>
              <w:rPr>
                <w:rFonts w:hint="eastAsia"/>
              </w:rPr>
              <w:t>（二）主要技术要求的依据及理由</w:t>
            </w:r>
            <w:r>
              <w:tab/>
            </w:r>
            <w:r>
              <w:fldChar w:fldCharType="begin"/>
            </w:r>
            <w:r>
              <w:instrText xml:space="preserve"> PAGEREF _Toc8593 \h </w:instrText>
            </w:r>
            <w:r>
              <w:fldChar w:fldCharType="separate"/>
            </w:r>
            <w:r>
              <w:t>3</w:t>
            </w:r>
            <w:r>
              <w:fldChar w:fldCharType="end"/>
            </w:r>
          </w:hyperlink>
        </w:p>
        <w:p w14:paraId="171C90F7" w14:textId="77777777" w:rsidR="00D4394E" w:rsidRDefault="00000000">
          <w:pPr>
            <w:pStyle w:val="TOC3"/>
            <w:tabs>
              <w:tab w:val="right" w:leader="dot" w:pos="8306"/>
            </w:tabs>
            <w:ind w:left="960"/>
          </w:pPr>
          <w:hyperlink w:anchor="_Toc27821" w:history="1">
            <w:r>
              <w:t>1.</w:t>
            </w:r>
            <w:r>
              <w:rPr>
                <w:rFonts w:hint="eastAsia"/>
              </w:rPr>
              <w:t>标准的主要技术要求</w:t>
            </w:r>
            <w:r>
              <w:tab/>
            </w:r>
            <w:r>
              <w:fldChar w:fldCharType="begin"/>
            </w:r>
            <w:r>
              <w:instrText xml:space="preserve"> PAGEREF _Toc27821 \h </w:instrText>
            </w:r>
            <w:r>
              <w:fldChar w:fldCharType="separate"/>
            </w:r>
            <w:r>
              <w:t>3</w:t>
            </w:r>
            <w:r>
              <w:fldChar w:fldCharType="end"/>
            </w:r>
          </w:hyperlink>
        </w:p>
        <w:p w14:paraId="3DF21016" w14:textId="77777777" w:rsidR="00D4394E" w:rsidRDefault="00000000">
          <w:pPr>
            <w:pStyle w:val="TOC3"/>
            <w:tabs>
              <w:tab w:val="right" w:leader="dot" w:pos="8306"/>
            </w:tabs>
            <w:ind w:left="960"/>
          </w:pPr>
          <w:hyperlink w:anchor="_Toc6980" w:history="1">
            <w:r>
              <w:rPr>
                <w:rFonts w:hint="eastAsia"/>
              </w:rPr>
              <w:t>2.</w:t>
            </w:r>
            <w:r>
              <w:rPr>
                <w:rFonts w:hint="eastAsia"/>
              </w:rPr>
              <w:t>主要修订内容</w:t>
            </w:r>
            <w:r>
              <w:tab/>
            </w:r>
            <w:r>
              <w:fldChar w:fldCharType="begin"/>
            </w:r>
            <w:r>
              <w:instrText xml:space="preserve"> PAGEREF _Toc6980 \h </w:instrText>
            </w:r>
            <w:r>
              <w:fldChar w:fldCharType="separate"/>
            </w:r>
            <w:r>
              <w:t>3</w:t>
            </w:r>
            <w:r>
              <w:fldChar w:fldCharType="end"/>
            </w:r>
          </w:hyperlink>
        </w:p>
        <w:p w14:paraId="0A5FEE9B" w14:textId="77777777" w:rsidR="00D4394E" w:rsidRDefault="00000000">
          <w:pPr>
            <w:pStyle w:val="TOC3"/>
            <w:tabs>
              <w:tab w:val="right" w:leader="dot" w:pos="8306"/>
            </w:tabs>
            <w:ind w:left="960"/>
          </w:pPr>
          <w:hyperlink w:anchor="_Toc28777" w:history="1">
            <w:r>
              <w:rPr>
                <w:rFonts w:hint="eastAsia"/>
              </w:rPr>
              <w:t>3</w:t>
            </w:r>
            <w:r>
              <w:t>.</w:t>
            </w:r>
            <w:r>
              <w:rPr>
                <w:rFonts w:hint="eastAsia"/>
              </w:rPr>
              <w:t>增加的内容（</w:t>
            </w:r>
            <w:r>
              <w:t>28</w:t>
            </w:r>
            <w:r>
              <w:rPr>
                <w:rFonts w:hint="eastAsia"/>
              </w:rPr>
              <w:t>条）</w:t>
            </w:r>
            <w:r>
              <w:tab/>
            </w:r>
            <w:r>
              <w:fldChar w:fldCharType="begin"/>
            </w:r>
            <w:r>
              <w:instrText xml:space="preserve"> PAGEREF _Toc28777 \h </w:instrText>
            </w:r>
            <w:r>
              <w:fldChar w:fldCharType="separate"/>
            </w:r>
            <w:r>
              <w:t>5</w:t>
            </w:r>
            <w:r>
              <w:fldChar w:fldCharType="end"/>
            </w:r>
          </w:hyperlink>
        </w:p>
        <w:p w14:paraId="1D515A92" w14:textId="77777777" w:rsidR="00D4394E" w:rsidRDefault="00000000">
          <w:pPr>
            <w:pStyle w:val="TOC3"/>
            <w:tabs>
              <w:tab w:val="right" w:leader="dot" w:pos="8306"/>
            </w:tabs>
            <w:ind w:left="960"/>
          </w:pPr>
          <w:hyperlink w:anchor="_Toc23595" w:history="1">
            <w:r>
              <w:rPr>
                <w:rFonts w:hint="eastAsia"/>
              </w:rPr>
              <w:t>4</w:t>
            </w:r>
            <w:r>
              <w:t>.</w:t>
            </w:r>
            <w:r>
              <w:rPr>
                <w:rFonts w:hint="eastAsia"/>
              </w:rPr>
              <w:t>修改的内容（</w:t>
            </w:r>
            <w:r>
              <w:rPr>
                <w:rFonts w:hint="eastAsia"/>
              </w:rPr>
              <w:t>87</w:t>
            </w:r>
            <w:r>
              <w:rPr>
                <w:rFonts w:hint="eastAsia"/>
              </w:rPr>
              <w:t>条）</w:t>
            </w:r>
            <w:r>
              <w:tab/>
            </w:r>
            <w:r>
              <w:fldChar w:fldCharType="begin"/>
            </w:r>
            <w:r>
              <w:instrText xml:space="preserve"> PAGEREF _Toc23595 \h </w:instrText>
            </w:r>
            <w:r>
              <w:fldChar w:fldCharType="separate"/>
            </w:r>
            <w:r>
              <w:t>11</w:t>
            </w:r>
            <w:r>
              <w:fldChar w:fldCharType="end"/>
            </w:r>
          </w:hyperlink>
        </w:p>
        <w:p w14:paraId="550C5799" w14:textId="77777777" w:rsidR="00D4394E" w:rsidRDefault="00000000">
          <w:pPr>
            <w:pStyle w:val="TOC3"/>
            <w:tabs>
              <w:tab w:val="right" w:leader="dot" w:pos="8306"/>
            </w:tabs>
            <w:ind w:left="960"/>
          </w:pPr>
          <w:hyperlink w:anchor="_Toc28037" w:history="1">
            <w:r>
              <w:rPr>
                <w:rFonts w:hint="eastAsia"/>
              </w:rPr>
              <w:t>5</w:t>
            </w:r>
            <w:r>
              <w:t>.</w:t>
            </w:r>
            <w:r>
              <w:rPr>
                <w:rFonts w:hint="eastAsia"/>
              </w:rPr>
              <w:t>删除的内容（</w:t>
            </w:r>
            <w:r>
              <w:rPr>
                <w:rFonts w:hint="eastAsia"/>
              </w:rPr>
              <w:t>8</w:t>
            </w:r>
            <w:r>
              <w:rPr>
                <w:rFonts w:hint="eastAsia"/>
              </w:rPr>
              <w:t>条）</w:t>
            </w:r>
            <w:r>
              <w:tab/>
            </w:r>
            <w:r>
              <w:fldChar w:fldCharType="begin"/>
            </w:r>
            <w:r>
              <w:instrText xml:space="preserve"> PAGEREF _Toc28037 \h </w:instrText>
            </w:r>
            <w:r>
              <w:fldChar w:fldCharType="separate"/>
            </w:r>
            <w:r>
              <w:t>23</w:t>
            </w:r>
            <w:r>
              <w:fldChar w:fldCharType="end"/>
            </w:r>
          </w:hyperlink>
        </w:p>
        <w:p w14:paraId="55896A23" w14:textId="77777777" w:rsidR="00D4394E" w:rsidRDefault="00000000">
          <w:pPr>
            <w:pStyle w:val="TOC2"/>
            <w:tabs>
              <w:tab w:val="right" w:leader="dot" w:pos="8306"/>
            </w:tabs>
            <w:ind w:left="480"/>
          </w:pPr>
          <w:hyperlink w:anchor="_Toc14596" w:history="1">
            <w:r>
              <w:rPr>
                <w:rFonts w:hint="eastAsia"/>
              </w:rPr>
              <w:t>（三）主要验证报告（简版）</w:t>
            </w:r>
            <w:r>
              <w:tab/>
            </w:r>
            <w:r>
              <w:fldChar w:fldCharType="begin"/>
            </w:r>
            <w:r>
              <w:instrText xml:space="preserve"> PAGEREF _Toc14596 \h </w:instrText>
            </w:r>
            <w:r>
              <w:fldChar w:fldCharType="separate"/>
            </w:r>
            <w:r>
              <w:t>24</w:t>
            </w:r>
            <w:r>
              <w:fldChar w:fldCharType="end"/>
            </w:r>
          </w:hyperlink>
        </w:p>
        <w:p w14:paraId="13B9AD97" w14:textId="77777777" w:rsidR="00D4394E" w:rsidRDefault="00000000">
          <w:pPr>
            <w:pStyle w:val="TOC3"/>
            <w:tabs>
              <w:tab w:val="right" w:leader="dot" w:pos="8306"/>
            </w:tabs>
            <w:ind w:left="960"/>
          </w:pPr>
          <w:hyperlink w:anchor="_Toc8076" w:history="1">
            <w:r>
              <w:rPr>
                <w:rFonts w:hint="eastAsia"/>
              </w:rPr>
              <w:t>1.</w:t>
            </w:r>
            <w:r>
              <w:rPr>
                <w:rFonts w:hint="eastAsia"/>
              </w:rPr>
              <w:t>《公共场所卫生管理规范》修订需求调查评估报告</w:t>
            </w:r>
            <w:r>
              <w:tab/>
            </w:r>
            <w:r>
              <w:fldChar w:fldCharType="begin"/>
            </w:r>
            <w:r>
              <w:instrText xml:space="preserve"> PAGEREF _Toc8076 \h </w:instrText>
            </w:r>
            <w:r>
              <w:fldChar w:fldCharType="separate"/>
            </w:r>
            <w:r>
              <w:t>24</w:t>
            </w:r>
            <w:r>
              <w:fldChar w:fldCharType="end"/>
            </w:r>
          </w:hyperlink>
        </w:p>
        <w:p w14:paraId="55452A68" w14:textId="77777777" w:rsidR="00D4394E" w:rsidRDefault="00000000">
          <w:pPr>
            <w:pStyle w:val="TOC3"/>
            <w:tabs>
              <w:tab w:val="right" w:leader="dot" w:pos="8306"/>
            </w:tabs>
            <w:ind w:left="960"/>
          </w:pPr>
          <w:hyperlink w:anchor="_Toc31188" w:history="1">
            <w:r>
              <w:rPr>
                <w:rFonts w:hint="eastAsia"/>
              </w:rPr>
              <w:t>2.</w:t>
            </w:r>
            <w:r>
              <w:rPr>
                <w:rFonts w:hint="eastAsia"/>
              </w:rPr>
              <w:t>国内外公共场所卫生管理文献调研报告</w:t>
            </w:r>
            <w:r>
              <w:tab/>
            </w:r>
            <w:r>
              <w:fldChar w:fldCharType="begin"/>
            </w:r>
            <w:r>
              <w:instrText xml:space="preserve"> PAGEREF _Toc31188 \h </w:instrText>
            </w:r>
            <w:r>
              <w:fldChar w:fldCharType="separate"/>
            </w:r>
            <w:r>
              <w:t>25</w:t>
            </w:r>
            <w:r>
              <w:fldChar w:fldCharType="end"/>
            </w:r>
          </w:hyperlink>
        </w:p>
        <w:p w14:paraId="5978CC98" w14:textId="77777777" w:rsidR="00D4394E" w:rsidRDefault="00000000">
          <w:pPr>
            <w:pStyle w:val="TOC3"/>
            <w:tabs>
              <w:tab w:val="right" w:leader="dot" w:pos="8306"/>
            </w:tabs>
            <w:ind w:left="960"/>
          </w:pPr>
          <w:hyperlink w:anchor="_Toc18063" w:history="1">
            <w:r>
              <w:rPr>
                <w:rFonts w:hint="eastAsia"/>
              </w:rPr>
              <w:t>3.</w:t>
            </w:r>
            <w:r>
              <w:rPr>
                <w:rFonts w:hint="eastAsia"/>
              </w:rPr>
              <w:t>公共场所风险分类分级评估报告</w:t>
            </w:r>
            <w:r>
              <w:tab/>
            </w:r>
            <w:r>
              <w:fldChar w:fldCharType="begin"/>
            </w:r>
            <w:r>
              <w:instrText xml:space="preserve"> PAGEREF _Toc18063 \h </w:instrText>
            </w:r>
            <w:r>
              <w:fldChar w:fldCharType="separate"/>
            </w:r>
            <w:r>
              <w:t>27</w:t>
            </w:r>
            <w:r>
              <w:fldChar w:fldCharType="end"/>
            </w:r>
          </w:hyperlink>
        </w:p>
        <w:p w14:paraId="0A4DC3E1" w14:textId="77777777" w:rsidR="00D4394E" w:rsidRDefault="00000000">
          <w:pPr>
            <w:pStyle w:val="TOC1"/>
            <w:tabs>
              <w:tab w:val="right" w:leader="dot" w:pos="8306"/>
            </w:tabs>
          </w:pPr>
          <w:hyperlink w:anchor="_Toc32283" w:history="1">
            <w:r>
              <w:rPr>
                <w:rFonts w:hint="eastAsia"/>
              </w:rPr>
              <w:t>三、与有关法律、行政法规和其他强制性国家标准的关系，配套推荐性标准的制定情况</w:t>
            </w:r>
            <w:r>
              <w:tab/>
            </w:r>
            <w:r>
              <w:fldChar w:fldCharType="begin"/>
            </w:r>
            <w:r>
              <w:instrText xml:space="preserve"> PAGEREF _Toc32283 \h </w:instrText>
            </w:r>
            <w:r>
              <w:fldChar w:fldCharType="separate"/>
            </w:r>
            <w:r>
              <w:t>28</w:t>
            </w:r>
            <w:r>
              <w:fldChar w:fldCharType="end"/>
            </w:r>
          </w:hyperlink>
        </w:p>
        <w:p w14:paraId="64604E5A" w14:textId="77777777" w:rsidR="00D4394E" w:rsidRDefault="00000000">
          <w:pPr>
            <w:pStyle w:val="TOC1"/>
            <w:tabs>
              <w:tab w:val="right" w:leader="dot" w:pos="8306"/>
            </w:tabs>
          </w:pPr>
          <w:hyperlink w:anchor="_Toc11506" w:history="1">
            <w:r>
              <w:rPr>
                <w:rFonts w:hint="eastAsia"/>
              </w:rPr>
              <w:t>四、与国际标准化组织、其他国家或者地区有关法律法规和标准的比对分析</w:t>
            </w:r>
            <w:r>
              <w:tab/>
            </w:r>
            <w:r>
              <w:fldChar w:fldCharType="begin"/>
            </w:r>
            <w:r>
              <w:instrText xml:space="preserve"> PAGEREF _Toc11506 \h </w:instrText>
            </w:r>
            <w:r>
              <w:fldChar w:fldCharType="separate"/>
            </w:r>
            <w:r>
              <w:t>28</w:t>
            </w:r>
            <w:r>
              <w:fldChar w:fldCharType="end"/>
            </w:r>
          </w:hyperlink>
        </w:p>
        <w:p w14:paraId="5DAAB4B3" w14:textId="77777777" w:rsidR="00D4394E" w:rsidRDefault="00000000">
          <w:pPr>
            <w:pStyle w:val="TOC2"/>
            <w:tabs>
              <w:tab w:val="right" w:leader="dot" w:pos="8306"/>
            </w:tabs>
            <w:ind w:left="480"/>
          </w:pPr>
          <w:hyperlink w:anchor="_Toc21480" w:history="1">
            <w:r>
              <w:rPr>
                <w:rFonts w:hint="eastAsia"/>
              </w:rPr>
              <w:t>（一）重点场所卫生管理要求</w:t>
            </w:r>
            <w:r>
              <w:tab/>
            </w:r>
            <w:r>
              <w:fldChar w:fldCharType="begin"/>
            </w:r>
            <w:r>
              <w:instrText xml:space="preserve"> PAGEREF _Toc21480 \h </w:instrText>
            </w:r>
            <w:r>
              <w:fldChar w:fldCharType="separate"/>
            </w:r>
            <w:r>
              <w:t>29</w:t>
            </w:r>
            <w:r>
              <w:fldChar w:fldCharType="end"/>
            </w:r>
          </w:hyperlink>
        </w:p>
        <w:p w14:paraId="78E32757" w14:textId="77777777" w:rsidR="00D4394E" w:rsidRDefault="00000000">
          <w:pPr>
            <w:pStyle w:val="TOC2"/>
            <w:tabs>
              <w:tab w:val="right" w:leader="dot" w:pos="8306"/>
            </w:tabs>
            <w:ind w:left="480"/>
          </w:pPr>
          <w:hyperlink w:anchor="_Toc26821" w:history="1">
            <w:r>
              <w:rPr>
                <w:rFonts w:cs="Cambria" w:hint="eastAsia"/>
                <w:szCs w:val="24"/>
              </w:rPr>
              <w:t>（二）重点健康危害因素管理要求</w:t>
            </w:r>
            <w:r>
              <w:tab/>
            </w:r>
            <w:r>
              <w:fldChar w:fldCharType="begin"/>
            </w:r>
            <w:r>
              <w:instrText xml:space="preserve"> PAGEREF _Toc26821 \h </w:instrText>
            </w:r>
            <w:r>
              <w:fldChar w:fldCharType="separate"/>
            </w:r>
            <w:r>
              <w:t>29</w:t>
            </w:r>
            <w:r>
              <w:fldChar w:fldCharType="end"/>
            </w:r>
          </w:hyperlink>
        </w:p>
        <w:p w14:paraId="3D693F86" w14:textId="77777777" w:rsidR="00D4394E" w:rsidRDefault="00000000">
          <w:pPr>
            <w:pStyle w:val="TOC1"/>
            <w:tabs>
              <w:tab w:val="right" w:leader="dot" w:pos="8306"/>
            </w:tabs>
          </w:pPr>
          <w:hyperlink w:anchor="_Toc24676" w:history="1">
            <w:r>
              <w:rPr>
                <w:rFonts w:hint="eastAsia"/>
              </w:rPr>
              <w:t>五、重大分歧意见的处理经过、处理意见及其依据</w:t>
            </w:r>
            <w:r>
              <w:tab/>
            </w:r>
            <w:r>
              <w:fldChar w:fldCharType="begin"/>
            </w:r>
            <w:r>
              <w:instrText xml:space="preserve"> PAGEREF _Toc24676 \h </w:instrText>
            </w:r>
            <w:r>
              <w:fldChar w:fldCharType="separate"/>
            </w:r>
            <w:r>
              <w:t>32</w:t>
            </w:r>
            <w:r>
              <w:fldChar w:fldCharType="end"/>
            </w:r>
          </w:hyperlink>
        </w:p>
        <w:p w14:paraId="09B6C888" w14:textId="77777777" w:rsidR="00D4394E" w:rsidRDefault="00000000">
          <w:pPr>
            <w:pStyle w:val="TOC1"/>
            <w:tabs>
              <w:tab w:val="right" w:leader="dot" w:pos="8306"/>
            </w:tabs>
          </w:pPr>
          <w:hyperlink w:anchor="_Toc7317" w:history="1">
            <w:r>
              <w:rPr>
                <w:rFonts w:cs="Times New Roman" w:hint="eastAsia"/>
                <w:szCs w:val="44"/>
              </w:rPr>
              <w:t>六、对强制性国家标准自发布日期至实施日期之间的过渡期的建议及理由，包括实施强制性国家标准所需要的技术改造、成本投入、老旧产品退出市场时间等</w:t>
            </w:r>
            <w:r>
              <w:tab/>
            </w:r>
            <w:r>
              <w:fldChar w:fldCharType="begin"/>
            </w:r>
            <w:r>
              <w:instrText xml:space="preserve"> PAGEREF _Toc7317 \h </w:instrText>
            </w:r>
            <w:r>
              <w:fldChar w:fldCharType="separate"/>
            </w:r>
            <w:r>
              <w:t>32</w:t>
            </w:r>
            <w:r>
              <w:fldChar w:fldCharType="end"/>
            </w:r>
          </w:hyperlink>
        </w:p>
        <w:p w14:paraId="4437BC82" w14:textId="77777777" w:rsidR="00D4394E" w:rsidRDefault="00000000">
          <w:pPr>
            <w:pStyle w:val="TOC1"/>
            <w:tabs>
              <w:tab w:val="right" w:leader="dot" w:pos="8306"/>
            </w:tabs>
          </w:pPr>
          <w:hyperlink w:anchor="_Toc28100" w:history="1">
            <w:r>
              <w:rPr>
                <w:rFonts w:cs="Times New Roman" w:hint="eastAsia"/>
                <w:szCs w:val="44"/>
              </w:rPr>
              <w:t>七、</w:t>
            </w:r>
          </w:hyperlink>
          <w:hyperlink w:anchor="_Toc23584" w:history="1">
            <w:r>
              <w:rPr>
                <w:rFonts w:hint="eastAsia"/>
              </w:rPr>
              <w:t>与实施强制性国家标准有关的政策措施，包括实施监督管理部门以及对违反强制性国家标准的行为进行处理的有关法律、行政法规、部门规章依据等</w:t>
            </w:r>
            <w:r>
              <w:tab/>
            </w:r>
            <w:r>
              <w:fldChar w:fldCharType="begin"/>
            </w:r>
            <w:r>
              <w:instrText xml:space="preserve"> PAGEREF _Toc23584 \h </w:instrText>
            </w:r>
            <w:r>
              <w:fldChar w:fldCharType="separate"/>
            </w:r>
            <w:r>
              <w:t>33</w:t>
            </w:r>
            <w:r>
              <w:fldChar w:fldCharType="end"/>
            </w:r>
          </w:hyperlink>
        </w:p>
        <w:p w14:paraId="29479C6C" w14:textId="77777777" w:rsidR="00D4394E" w:rsidRDefault="00000000">
          <w:pPr>
            <w:pStyle w:val="TOC1"/>
            <w:tabs>
              <w:tab w:val="right" w:leader="dot" w:pos="8306"/>
            </w:tabs>
          </w:pPr>
          <w:hyperlink w:anchor="_Toc20935" w:history="1">
            <w:r>
              <w:rPr>
                <w:rFonts w:hint="eastAsia"/>
              </w:rPr>
              <w:t>八、</w:t>
            </w:r>
            <w:r>
              <w:t>是否需要对外通报的建议及理由</w:t>
            </w:r>
            <w:r>
              <w:tab/>
            </w:r>
            <w:r>
              <w:fldChar w:fldCharType="begin"/>
            </w:r>
            <w:r>
              <w:instrText xml:space="preserve"> PAGEREF _Toc20935 \h </w:instrText>
            </w:r>
            <w:r>
              <w:fldChar w:fldCharType="separate"/>
            </w:r>
            <w:r>
              <w:t>33</w:t>
            </w:r>
            <w:r>
              <w:fldChar w:fldCharType="end"/>
            </w:r>
          </w:hyperlink>
        </w:p>
        <w:p w14:paraId="3B48A2DE" w14:textId="77777777" w:rsidR="00D4394E" w:rsidRDefault="00000000">
          <w:pPr>
            <w:pStyle w:val="TOC1"/>
            <w:tabs>
              <w:tab w:val="right" w:leader="dot" w:pos="8306"/>
            </w:tabs>
          </w:pPr>
          <w:hyperlink w:anchor="_Toc15184" w:history="1">
            <w:r>
              <w:t>九、废止现行有关标准的建议</w:t>
            </w:r>
            <w:r>
              <w:tab/>
            </w:r>
            <w:r>
              <w:fldChar w:fldCharType="begin"/>
            </w:r>
            <w:r>
              <w:instrText xml:space="preserve"> PAGEREF _Toc15184 \h </w:instrText>
            </w:r>
            <w:r>
              <w:fldChar w:fldCharType="separate"/>
            </w:r>
            <w:r>
              <w:t>33</w:t>
            </w:r>
            <w:r>
              <w:fldChar w:fldCharType="end"/>
            </w:r>
          </w:hyperlink>
        </w:p>
        <w:p w14:paraId="6C9CEAFF" w14:textId="77777777" w:rsidR="00D4394E" w:rsidRDefault="00000000">
          <w:pPr>
            <w:pStyle w:val="TOC1"/>
            <w:tabs>
              <w:tab w:val="right" w:leader="dot" w:pos="8306"/>
            </w:tabs>
          </w:pPr>
          <w:hyperlink w:anchor="_Toc14634" w:history="1">
            <w:r>
              <w:rPr>
                <w:rFonts w:cs="Times New Roman"/>
                <w:szCs w:val="44"/>
              </w:rPr>
              <w:t>十、</w:t>
            </w:r>
          </w:hyperlink>
          <w:hyperlink w:anchor="_Toc617" w:history="1">
            <w:r>
              <w:t>涉及专利的有关说明</w:t>
            </w:r>
            <w:r>
              <w:tab/>
            </w:r>
            <w:r>
              <w:fldChar w:fldCharType="begin"/>
            </w:r>
            <w:r>
              <w:instrText xml:space="preserve"> PAGEREF _Toc617 \h </w:instrText>
            </w:r>
            <w:r>
              <w:fldChar w:fldCharType="separate"/>
            </w:r>
            <w:r>
              <w:t>33</w:t>
            </w:r>
            <w:r>
              <w:fldChar w:fldCharType="end"/>
            </w:r>
          </w:hyperlink>
        </w:p>
        <w:p w14:paraId="5AF03C5C" w14:textId="77777777" w:rsidR="00D4394E" w:rsidRDefault="00000000">
          <w:pPr>
            <w:pStyle w:val="TOC1"/>
            <w:tabs>
              <w:tab w:val="right" w:leader="dot" w:pos="8306"/>
            </w:tabs>
          </w:pPr>
          <w:hyperlink w:anchor="_Toc18362" w:history="1">
            <w:r>
              <w:t>十一、</w:t>
            </w:r>
            <w:r>
              <w:rPr>
                <w:rFonts w:hint="eastAsia"/>
              </w:rPr>
              <w:t>强制性国家标准所涉及的产品、过程或者服务目录</w:t>
            </w:r>
            <w:r>
              <w:tab/>
            </w:r>
            <w:r>
              <w:fldChar w:fldCharType="begin"/>
            </w:r>
            <w:r>
              <w:instrText xml:space="preserve"> PAGEREF _Toc18362 \h </w:instrText>
            </w:r>
            <w:r>
              <w:fldChar w:fldCharType="separate"/>
            </w:r>
            <w:r>
              <w:t>33</w:t>
            </w:r>
            <w:r>
              <w:fldChar w:fldCharType="end"/>
            </w:r>
          </w:hyperlink>
        </w:p>
        <w:p w14:paraId="4D487BD9" w14:textId="77777777" w:rsidR="00D4394E" w:rsidRDefault="00000000">
          <w:pPr>
            <w:pStyle w:val="TOC1"/>
            <w:tabs>
              <w:tab w:val="right" w:leader="dot" w:pos="8306"/>
            </w:tabs>
          </w:pPr>
          <w:hyperlink w:anchor="_Toc6223" w:history="1">
            <w:r>
              <w:rPr>
                <w:rFonts w:hint="eastAsia"/>
              </w:rPr>
              <w:t>十二、其他应予说明的事项</w:t>
            </w:r>
            <w:r>
              <w:tab/>
            </w:r>
            <w:r>
              <w:fldChar w:fldCharType="begin"/>
            </w:r>
            <w:r>
              <w:instrText xml:space="preserve"> PAGEREF _Toc6223 \h </w:instrText>
            </w:r>
            <w:r>
              <w:fldChar w:fldCharType="separate"/>
            </w:r>
            <w:r>
              <w:t>33</w:t>
            </w:r>
            <w:r>
              <w:fldChar w:fldCharType="end"/>
            </w:r>
          </w:hyperlink>
        </w:p>
        <w:p w14:paraId="70C41948" w14:textId="77777777" w:rsidR="00D4394E" w:rsidRDefault="00000000">
          <w:pPr>
            <w:spacing w:line="240" w:lineRule="auto"/>
            <w:jc w:val="center"/>
            <w:rPr>
              <w:rFonts w:eastAsia="宋体" w:cs="Times New Roman"/>
              <w:szCs w:val="20"/>
              <w:lang w:val="zh-CN"/>
            </w:rPr>
          </w:pPr>
          <w:r>
            <w:rPr>
              <w:rFonts w:eastAsia="宋体" w:cs="Times New Roman"/>
              <w:szCs w:val="21"/>
              <w:lang w:val="zh-CN"/>
            </w:rPr>
            <w:fldChar w:fldCharType="end"/>
          </w:r>
        </w:p>
      </w:sdtContent>
    </w:sdt>
    <w:p w14:paraId="2E0ADD1D" w14:textId="77777777" w:rsidR="00D4394E" w:rsidRDefault="00D4394E">
      <w:pPr>
        <w:jc w:val="center"/>
        <w:rPr>
          <w:rFonts w:eastAsia="宋体" w:cs="Times New Roman"/>
          <w:szCs w:val="20"/>
          <w:lang w:val="zh-CN"/>
        </w:rPr>
        <w:sectPr w:rsidR="00D4394E">
          <w:headerReference w:type="default" r:id="rId11"/>
          <w:footerReference w:type="default" r:id="rId12"/>
          <w:type w:val="continuous"/>
          <w:pgSz w:w="11906" w:h="16838"/>
          <w:pgMar w:top="1440" w:right="1800" w:bottom="1440" w:left="1800" w:header="851" w:footer="992" w:gutter="0"/>
          <w:cols w:space="425"/>
          <w:docGrid w:type="lines" w:linePitch="326"/>
        </w:sectPr>
      </w:pPr>
    </w:p>
    <w:p w14:paraId="71D1620C" w14:textId="77777777" w:rsidR="00D4394E" w:rsidRDefault="00000000">
      <w:pPr>
        <w:pStyle w:val="1"/>
        <w:spacing w:before="0" w:after="0"/>
        <w:rPr>
          <w:sz w:val="28"/>
        </w:rPr>
      </w:pPr>
      <w:bookmarkStart w:id="0" w:name="_Toc67407043"/>
      <w:bookmarkStart w:id="1" w:name="_Toc739"/>
      <w:bookmarkStart w:id="2" w:name="_Toc3639"/>
      <w:bookmarkStart w:id="3" w:name="_Toc69553225"/>
      <w:bookmarkStart w:id="4" w:name="_Toc26584"/>
      <w:bookmarkStart w:id="5" w:name="_Toc24721"/>
      <w:bookmarkStart w:id="6" w:name="_Toc10050"/>
      <w:bookmarkStart w:id="7" w:name="_Toc3299"/>
      <w:bookmarkStart w:id="8" w:name="_Toc981"/>
      <w:bookmarkStart w:id="9" w:name="_Toc15609"/>
      <w:bookmarkStart w:id="10" w:name="_Toc8143"/>
      <w:bookmarkStart w:id="11" w:name="_Toc27512"/>
      <w:bookmarkStart w:id="12" w:name="_Toc24020"/>
      <w:bookmarkStart w:id="13" w:name="_Toc204705120"/>
      <w:bookmarkStart w:id="14" w:name="_Toc361"/>
      <w:bookmarkStart w:id="15" w:name="_Toc7477"/>
      <w:bookmarkStart w:id="16" w:name="_Toc67407044"/>
      <w:bookmarkStart w:id="17" w:name="_Toc69553226"/>
      <w:bookmarkStart w:id="18" w:name="_Toc91173558"/>
      <w:bookmarkStart w:id="19" w:name="_Toc91763190"/>
      <w:r>
        <w:rPr>
          <w:rFonts w:hint="eastAsia"/>
          <w:sz w:val="28"/>
        </w:rPr>
        <w:lastRenderedPageBreak/>
        <w:t>一、</w:t>
      </w:r>
      <w:bookmarkEnd w:id="0"/>
      <w:r>
        <w:rPr>
          <w:rFonts w:hint="eastAsia"/>
          <w:sz w:val="28"/>
        </w:rPr>
        <w:t>工作简况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AB4F43" w14:textId="77777777" w:rsidR="00D4394E" w:rsidRDefault="00000000">
      <w:pPr>
        <w:pStyle w:val="2"/>
        <w:spacing w:before="156" w:after="156"/>
        <w:ind w:firstLine="482"/>
      </w:pPr>
      <w:bookmarkStart w:id="20" w:name="_Toc16696"/>
      <w:bookmarkStart w:id="21" w:name="_Toc3819"/>
      <w:bookmarkStart w:id="22" w:name="_Toc7114"/>
      <w:bookmarkStart w:id="23" w:name="_Toc8079"/>
      <w:bookmarkStart w:id="24" w:name="_Toc30881"/>
      <w:bookmarkStart w:id="25" w:name="_Toc5592"/>
      <w:bookmarkStart w:id="26" w:name="_Toc21537"/>
      <w:bookmarkStart w:id="27" w:name="_Toc15961"/>
      <w:bookmarkStart w:id="28" w:name="_Toc2876"/>
      <w:bookmarkStart w:id="29" w:name="_Toc11569"/>
      <w:bookmarkStart w:id="30" w:name="_Toc16525"/>
      <w:bookmarkStart w:id="31" w:name="_Toc20161"/>
      <w:bookmarkStart w:id="32" w:name="_Toc27606"/>
      <w:r>
        <w:rPr>
          <w:rFonts w:hint="eastAsia"/>
        </w:rPr>
        <w:t>（一）任务来源</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0C7C35" w14:textId="77777777" w:rsidR="00D4394E" w:rsidRDefault="00000000">
      <w:pPr>
        <w:adjustRightInd w:val="0"/>
        <w:snapToGrid w:val="0"/>
        <w:spacing w:line="240" w:lineRule="auto"/>
        <w:ind w:firstLineChars="200" w:firstLine="480"/>
        <w:rPr>
          <w:rFonts w:cs="Times New Roman"/>
          <w:szCs w:val="24"/>
        </w:rPr>
      </w:pPr>
      <w:bookmarkStart w:id="33" w:name="OLE_LINK9"/>
      <w:bookmarkStart w:id="34" w:name="OLE_LINK5"/>
      <w:r>
        <w:rPr>
          <w:rFonts w:cs="Times New Roman" w:hint="eastAsia"/>
          <w:szCs w:val="24"/>
        </w:rPr>
        <w:t>2025</w:t>
      </w:r>
      <w:r>
        <w:rPr>
          <w:rFonts w:cs="Times New Roman" w:hint="eastAsia"/>
          <w:szCs w:val="24"/>
        </w:rPr>
        <w:t>年</w:t>
      </w:r>
      <w:r>
        <w:rPr>
          <w:rFonts w:cs="Times New Roman" w:hint="eastAsia"/>
          <w:szCs w:val="24"/>
        </w:rPr>
        <w:t>1</w:t>
      </w:r>
      <w:r>
        <w:rPr>
          <w:rFonts w:cs="Times New Roman" w:hint="eastAsia"/>
          <w:szCs w:val="24"/>
        </w:rPr>
        <w:t>月，国家标准化管理委员会关于下达《通过式金属探测门通用技术规范》等</w:t>
      </w:r>
      <w:r>
        <w:rPr>
          <w:rFonts w:cs="Times New Roman" w:hint="eastAsia"/>
          <w:szCs w:val="24"/>
        </w:rPr>
        <w:t>35</w:t>
      </w:r>
      <w:r>
        <w:rPr>
          <w:rFonts w:cs="Times New Roman" w:hint="eastAsia"/>
          <w:szCs w:val="24"/>
        </w:rPr>
        <w:t>项强制性国家标准制修订计划及相关标准外文版计划的通知【国标委发</w:t>
      </w:r>
      <w:r>
        <w:rPr>
          <w:rFonts w:cs="Times New Roman"/>
          <w:szCs w:val="24"/>
        </w:rPr>
        <w:t xml:space="preserve"> 2025 </w:t>
      </w:r>
      <w:r>
        <w:rPr>
          <w:rFonts w:cs="Times New Roman" w:hint="eastAsia"/>
          <w:szCs w:val="24"/>
        </w:rPr>
        <w:t>2</w:t>
      </w:r>
      <w:r>
        <w:rPr>
          <w:rFonts w:cs="Times New Roman" w:hint="eastAsia"/>
          <w:szCs w:val="24"/>
        </w:rPr>
        <w:t>号】，根据《国家疾病预防控制标准委员会秘书处关于转发有关强制性国家标准制修订计划的函》，中国疾病预防控制中心环境与健康相关产品安全所组织开展《公共场所卫生管理规范》标准（以下简称“本标准”）修订项目。</w:t>
      </w:r>
      <w:bookmarkEnd w:id="33"/>
      <w:bookmarkEnd w:id="34"/>
      <w:r>
        <w:rPr>
          <w:rFonts w:cs="Times New Roman" w:hint="eastAsia"/>
          <w:szCs w:val="24"/>
        </w:rPr>
        <w:t>2025</w:t>
      </w:r>
      <w:r>
        <w:rPr>
          <w:rFonts w:cs="Times New Roman" w:hint="eastAsia"/>
          <w:szCs w:val="24"/>
        </w:rPr>
        <w:t>年</w:t>
      </w:r>
      <w:r>
        <w:rPr>
          <w:rFonts w:cs="Times New Roman" w:hint="eastAsia"/>
          <w:szCs w:val="24"/>
        </w:rPr>
        <w:t>9</w:t>
      </w:r>
      <w:r>
        <w:rPr>
          <w:rFonts w:cs="Times New Roman" w:hint="eastAsia"/>
          <w:szCs w:val="24"/>
        </w:rPr>
        <w:t>月国家疾病预防控制局正式下达标准《公共场所卫生管理规范》制定任务（国疾控综法规函【</w:t>
      </w:r>
      <w:r>
        <w:rPr>
          <w:rFonts w:cs="Times New Roman" w:hint="eastAsia"/>
          <w:szCs w:val="24"/>
        </w:rPr>
        <w:t>2025</w:t>
      </w:r>
      <w:r>
        <w:rPr>
          <w:rFonts w:cs="Times New Roman" w:hint="eastAsia"/>
          <w:szCs w:val="24"/>
        </w:rPr>
        <w:t>】</w:t>
      </w:r>
      <w:r>
        <w:rPr>
          <w:rFonts w:cs="Times New Roman" w:hint="eastAsia"/>
          <w:szCs w:val="24"/>
        </w:rPr>
        <w:t>224</w:t>
      </w:r>
      <w:r>
        <w:rPr>
          <w:rFonts w:cs="Times New Roman" w:hint="eastAsia"/>
          <w:szCs w:val="24"/>
        </w:rPr>
        <w:t>号，项目编号：</w:t>
      </w:r>
      <w:r>
        <w:rPr>
          <w:rFonts w:cs="Times New Roman" w:hint="eastAsia"/>
          <w:szCs w:val="24"/>
        </w:rPr>
        <w:t>JK20250402</w:t>
      </w:r>
      <w:r>
        <w:rPr>
          <w:rFonts w:cs="Times New Roman" w:hint="eastAsia"/>
          <w:szCs w:val="24"/>
        </w:rPr>
        <w:t>）。此标准为国家强制性标准。</w:t>
      </w:r>
    </w:p>
    <w:p w14:paraId="0D05BFF2" w14:textId="77777777" w:rsidR="00D4394E" w:rsidRDefault="00000000">
      <w:pPr>
        <w:pStyle w:val="2"/>
        <w:spacing w:before="156" w:after="156"/>
        <w:ind w:firstLine="482"/>
      </w:pPr>
      <w:bookmarkStart w:id="35" w:name="_Toc91173559"/>
      <w:bookmarkStart w:id="36" w:name="_Toc91763191"/>
      <w:bookmarkStart w:id="37" w:name="_Toc29062"/>
      <w:bookmarkStart w:id="38" w:name="_Toc23863"/>
      <w:bookmarkStart w:id="39" w:name="_Toc21689"/>
      <w:bookmarkStart w:id="40" w:name="_Toc1872"/>
      <w:bookmarkStart w:id="41" w:name="_Toc21212"/>
      <w:bookmarkStart w:id="42" w:name="_Toc5868"/>
      <w:bookmarkStart w:id="43" w:name="_Toc12673"/>
      <w:bookmarkStart w:id="44" w:name="_Toc18623"/>
      <w:bookmarkStart w:id="45" w:name="_Toc32404"/>
      <w:bookmarkStart w:id="46" w:name="_Toc32524"/>
      <w:bookmarkStart w:id="47" w:name="_Toc30265"/>
      <w:bookmarkStart w:id="48" w:name="_Toc9815"/>
      <w:bookmarkStart w:id="49" w:name="_Toc4580"/>
      <w:r>
        <w:rPr>
          <w:rFonts w:hint="eastAsia"/>
        </w:rPr>
        <w:t>（二）起草人</w:t>
      </w:r>
      <w:bookmarkEnd w:id="35"/>
      <w:bookmarkEnd w:id="36"/>
      <w:r>
        <w:rPr>
          <w:rFonts w:hint="eastAsia"/>
        </w:rPr>
        <w:t>员及其所在单位</w:t>
      </w:r>
      <w:bookmarkEnd w:id="37"/>
      <w:bookmarkEnd w:id="38"/>
      <w:bookmarkEnd w:id="39"/>
      <w:bookmarkEnd w:id="40"/>
      <w:bookmarkEnd w:id="41"/>
      <w:bookmarkEnd w:id="42"/>
      <w:bookmarkEnd w:id="43"/>
      <w:bookmarkEnd w:id="44"/>
      <w:bookmarkEnd w:id="45"/>
      <w:bookmarkEnd w:id="46"/>
      <w:bookmarkEnd w:id="47"/>
      <w:bookmarkEnd w:id="48"/>
      <w:bookmarkEnd w:id="49"/>
    </w:p>
    <w:p w14:paraId="30A14D5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本标准负责起草单位：中国疾病预防控制中心环境与健康相关产品安全所，总体负责本标准的修订。</w:t>
      </w:r>
    </w:p>
    <w:p w14:paraId="3721568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本标准参加起草单位：江苏省疾病预防控制中心、安徽省疾病预防控制中心、辽宁省疾病预防控制中心、无锡市疾病预防控制中心和首都医科大学。</w:t>
      </w:r>
    </w:p>
    <w:p w14:paraId="1500606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本文件主要起草人：</w:t>
      </w:r>
      <w:bookmarkStart w:id="50" w:name="OLE_LINK8"/>
      <w:r>
        <w:rPr>
          <w:rFonts w:cs="Times New Roman" w:hint="eastAsia"/>
          <w:szCs w:val="24"/>
        </w:rPr>
        <w:t>王先良、李莉、丁震、徐艳龙、李晓波、章燕、周伟杰、沈瑾、韩旭、樊琳、周志荣</w:t>
      </w:r>
      <w:bookmarkEnd w:id="50"/>
      <w:r>
        <w:rPr>
          <w:rFonts w:cs="Times New Roman" w:hint="eastAsia"/>
          <w:szCs w:val="24"/>
        </w:rPr>
        <w:t>。</w:t>
      </w:r>
    </w:p>
    <w:p w14:paraId="4A7F9C4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各起草人承担的工作如下：</w:t>
      </w:r>
    </w:p>
    <w:p w14:paraId="1C9AF42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王先良，中国疾病预防控制中心环境与健康相关产品安全所。负责本文件结构框架制订、修订工作方案制定、项目组织实施、开展、上报、技术材料的审核工作。组织编写标准初稿、讨论稿、修订稿、征求意见稿、送审稿、报批稿、标准解读以及编制说明等相关文件。为本项目总体负责人。</w:t>
      </w:r>
    </w:p>
    <w:p w14:paraId="7F9499D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李莉，中国疾病预防控制中心环境与健康相关产品安全所。主要负责通用卫生管理要求、乙类、丙类公共场所卫生管理要求、</w:t>
      </w:r>
      <w:r>
        <w:rPr>
          <w:rFonts w:hint="eastAsia"/>
        </w:rPr>
        <w:t>疫情暴发地区</w:t>
      </w:r>
      <w:r>
        <w:rPr>
          <w:rFonts w:hAnsi="宋体" w:cs="宋体" w:hint="eastAsia"/>
        </w:rPr>
        <w:t>公共</w:t>
      </w:r>
      <w:r>
        <w:rPr>
          <w:rFonts w:hint="eastAsia"/>
        </w:rPr>
        <w:t>场所防控要求</w:t>
      </w:r>
      <w:r>
        <w:rPr>
          <w:rFonts w:cs="Times New Roman" w:hint="eastAsia"/>
          <w:szCs w:val="24"/>
        </w:rPr>
        <w:t>及支撑文件编写。协同编写标准初稿、讨论稿、修订稿、征求意见稿、送审稿、报批稿、标准解读、编制说明、评估报告等相关文件。</w:t>
      </w:r>
    </w:p>
    <w:p w14:paraId="02DF812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丁震，江苏省疾病预防控制中心。主要负责适用范围、规范性引用文件、术语定义的修订，参与甲类公共场所卫生管理要求修订、标准初稿、讨论稿、修订稿、征求意见稿、送审稿、报批稿以及编制说明的讨论和修改。</w:t>
      </w:r>
    </w:p>
    <w:p w14:paraId="5369EB1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徐艳龙，安徽省疾病预防控制中心。主要负责甲类公共场所卫生管理要求的修订，参与标准初稿、讨论稿、修订稿、征求意见稿、送审稿、报批稿以及编制说明的讨论和修改。</w:t>
      </w:r>
    </w:p>
    <w:p w14:paraId="216BAC5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李晓波，首都医科大学。主要负责公共场所定义调研、国内外各类公共场所卫生管理需求评估报告、公共场所风险分类分级评估报告编写，参与标准初稿、讨论稿、修订稿、征求意见稿、送审稿、报批稿以及编制说明的讨论和修改。</w:t>
      </w:r>
    </w:p>
    <w:p w14:paraId="3AC05DA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章燕，辽宁省疾病预防控制中心。主要负责监督管理要求的编制及支撑文件编写、协助乙类、丙类公共场所卫生管理要求的编制及支撑文件编写。参与标准初稿、讨论稿、修订稿以及编制说明的讨论和修改。</w:t>
      </w:r>
    </w:p>
    <w:p w14:paraId="00D6934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周伟杰，无锡市疾病预防控制中心。主要负责甲类公共场所卫生管理要求的编制及支撑文件编写，参与标准初稿、讨论稿、修订稿、征求意见稿、送审稿、</w:t>
      </w:r>
      <w:r>
        <w:rPr>
          <w:rFonts w:cs="Times New Roman" w:hint="eastAsia"/>
          <w:szCs w:val="24"/>
        </w:rPr>
        <w:lastRenderedPageBreak/>
        <w:t>报批稿以及编制说明的讨论和修改。</w:t>
      </w:r>
    </w:p>
    <w:p w14:paraId="42DD1E67" w14:textId="77777777" w:rsidR="00D4394E" w:rsidRDefault="00000000">
      <w:pPr>
        <w:adjustRightInd w:val="0"/>
        <w:snapToGrid w:val="0"/>
        <w:spacing w:line="240" w:lineRule="auto"/>
        <w:ind w:firstLineChars="200" w:firstLine="480"/>
        <w:rPr>
          <w:rFonts w:cs="Times New Roman"/>
          <w:szCs w:val="24"/>
        </w:rPr>
      </w:pPr>
      <w:bookmarkStart w:id="51" w:name="OLE_LINK7"/>
      <w:bookmarkStart w:id="52" w:name="OLE_LINK6"/>
      <w:r>
        <w:rPr>
          <w:rFonts w:cs="Times New Roman" w:hint="eastAsia"/>
          <w:szCs w:val="24"/>
        </w:rPr>
        <w:t>沈瑾</w:t>
      </w:r>
      <w:bookmarkEnd w:id="51"/>
      <w:bookmarkEnd w:id="52"/>
      <w:r>
        <w:rPr>
          <w:rFonts w:cs="Times New Roman" w:hint="eastAsia"/>
          <w:szCs w:val="24"/>
        </w:rPr>
        <w:t>，中国疾病预防控制中心环境与健康相关产品安全所。主要负责手卫生相关内容的编制及支撑文件编写，参与标准初稿、讨论稿、修订稿、征求意见稿、送审稿、报批稿以及编制说明的讨论和修改。</w:t>
      </w:r>
    </w:p>
    <w:p w14:paraId="37E428D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韩旭，中国疾病预防控制中心环境与健康相关产品安全所。主要负责《公共场所卫生管理规范》修订需求调查评估报告、公共场所风险分类分级评估报告编写，参与标准初稿、讨论稿、修订稿、征求意见稿、送审稿、报批稿以及编制说明的讨论和修改。</w:t>
      </w:r>
    </w:p>
    <w:p w14:paraId="46FE9F3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樊琳，中国疾病预防控制中心环境与健康相关产品安全所。主要负责标准初稿、讨论稿、修订稿、征求意见稿、送审稿、报批稿、标准解读、编制说明等文件的讨论和修订，参与公共场所风险分类分级评估报告编写。</w:t>
      </w:r>
    </w:p>
    <w:p w14:paraId="312F9B50" w14:textId="77777777" w:rsidR="00D4394E" w:rsidRDefault="00000000">
      <w:pPr>
        <w:adjustRightInd w:val="0"/>
        <w:snapToGrid w:val="0"/>
        <w:spacing w:line="240" w:lineRule="auto"/>
        <w:ind w:firstLineChars="200" w:firstLine="480"/>
        <w:rPr>
          <w:rFonts w:cs="Times New Roman"/>
          <w:szCs w:val="24"/>
        </w:rPr>
      </w:pPr>
      <w:bookmarkStart w:id="53" w:name="_Toc91763193"/>
      <w:bookmarkStart w:id="54" w:name="_Toc67407048"/>
      <w:bookmarkStart w:id="55" w:name="_Toc69553229"/>
      <w:bookmarkStart w:id="56" w:name="_Toc91173561"/>
      <w:r>
        <w:rPr>
          <w:rFonts w:cs="Times New Roman" w:hint="eastAsia"/>
          <w:szCs w:val="24"/>
        </w:rPr>
        <w:t>周志荣，中国疾病预防控制中心环境与健康相关产品安全所。主要负责标准征求意见稿、送审稿、报批稿等文件的讨论和修订。</w:t>
      </w:r>
    </w:p>
    <w:p w14:paraId="0A660FB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此外，安徽省疾病预防控制中心吴立斌、无锡市疾病预防控制中心朱鹏飞、无锡市卫生监督所陈菁主要参与了甲类场所卫生管理规范文本和编制说明的起草工作。</w:t>
      </w:r>
    </w:p>
    <w:p w14:paraId="087606E0" w14:textId="77777777" w:rsidR="00D4394E" w:rsidRDefault="00000000">
      <w:pPr>
        <w:pStyle w:val="2"/>
        <w:spacing w:before="156" w:after="156"/>
        <w:ind w:firstLine="482"/>
      </w:pPr>
      <w:bookmarkStart w:id="57" w:name="_Toc914"/>
      <w:bookmarkStart w:id="58" w:name="_Toc23347"/>
      <w:bookmarkStart w:id="59" w:name="_Toc16697"/>
      <w:bookmarkStart w:id="60" w:name="_Toc17993"/>
      <w:bookmarkStart w:id="61" w:name="_Toc389"/>
      <w:bookmarkStart w:id="62" w:name="_Toc1881"/>
      <w:bookmarkStart w:id="63" w:name="_Toc21874"/>
      <w:bookmarkStart w:id="64" w:name="_Toc32452"/>
      <w:bookmarkStart w:id="65" w:name="_Toc14235"/>
      <w:bookmarkStart w:id="66" w:name="_Toc12844"/>
      <w:bookmarkStart w:id="67" w:name="_Toc12691"/>
      <w:bookmarkStart w:id="68" w:name="_Toc11563"/>
      <w:bookmarkStart w:id="69" w:name="_Toc7437"/>
      <w:r>
        <w:rPr>
          <w:rFonts w:hint="eastAsia"/>
        </w:rPr>
        <w:t>（三）起草过程</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2F26A9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为做好标准修订工作，在国标委正式发布标准修订立项通知之后，牵头单位组建了编制组，制定了实施方案，明确了任务分工及工作进度，大约每两周召开下一进度工作会议，及时交流，协作推进，较好地完成了标准修订任务。先后工作召开了</w:t>
      </w:r>
      <w:r>
        <w:rPr>
          <w:rFonts w:cs="Times New Roman" w:hint="eastAsia"/>
          <w:szCs w:val="24"/>
        </w:rPr>
        <w:t>5</w:t>
      </w:r>
      <w:r>
        <w:rPr>
          <w:rFonts w:cs="Times New Roman" w:hint="eastAsia"/>
          <w:szCs w:val="24"/>
        </w:rPr>
        <w:t>次修订组内工作会议。起草过程如下：</w:t>
      </w:r>
    </w:p>
    <w:p w14:paraId="18F0B51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1.</w:t>
      </w:r>
      <w:r>
        <w:rPr>
          <w:rFonts w:cs="Times New Roman" w:hint="eastAsia"/>
          <w:szCs w:val="24"/>
        </w:rPr>
        <w:t>标准修订项目立项与任务下达</w:t>
      </w:r>
    </w:p>
    <w:p w14:paraId="65602C1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2024</w:t>
      </w:r>
      <w:r>
        <w:rPr>
          <w:rFonts w:cs="Times New Roman" w:hint="eastAsia"/>
          <w:szCs w:val="24"/>
        </w:rPr>
        <w:t>年</w:t>
      </w:r>
      <w:r>
        <w:rPr>
          <w:rFonts w:cs="Times New Roman" w:hint="eastAsia"/>
          <w:szCs w:val="24"/>
        </w:rPr>
        <w:t>11</w:t>
      </w:r>
      <w:r>
        <w:rPr>
          <w:rFonts w:cs="Times New Roman" w:hint="eastAsia"/>
          <w:szCs w:val="24"/>
        </w:rPr>
        <w:t>月</w:t>
      </w:r>
      <w:r>
        <w:rPr>
          <w:rFonts w:cs="Times New Roman" w:hint="eastAsia"/>
          <w:szCs w:val="24"/>
        </w:rPr>
        <w:t>-2025</w:t>
      </w:r>
      <w:r>
        <w:rPr>
          <w:rFonts w:cs="Times New Roman" w:hint="eastAsia"/>
          <w:szCs w:val="24"/>
        </w:rPr>
        <w:t>年</w:t>
      </w:r>
      <w:r>
        <w:rPr>
          <w:rFonts w:cs="Times New Roman" w:hint="eastAsia"/>
          <w:szCs w:val="24"/>
        </w:rPr>
        <w:t>1</w:t>
      </w:r>
      <w:r>
        <w:rPr>
          <w:rFonts w:cs="Times New Roman" w:hint="eastAsia"/>
          <w:szCs w:val="24"/>
        </w:rPr>
        <w:t>月，开展本标准立项材料编写及申请答辩，</w:t>
      </w:r>
      <w:r>
        <w:rPr>
          <w:rFonts w:cs="Times New Roman" w:hint="eastAsia"/>
          <w:szCs w:val="24"/>
        </w:rPr>
        <w:t>2025</w:t>
      </w:r>
      <w:r>
        <w:rPr>
          <w:rFonts w:cs="Times New Roman" w:hint="eastAsia"/>
          <w:szCs w:val="24"/>
        </w:rPr>
        <w:t>年</w:t>
      </w:r>
      <w:r>
        <w:rPr>
          <w:rFonts w:cs="Times New Roman" w:hint="eastAsia"/>
          <w:szCs w:val="24"/>
        </w:rPr>
        <w:t>1</w:t>
      </w:r>
      <w:r>
        <w:rPr>
          <w:rFonts w:cs="Times New Roman" w:hint="eastAsia"/>
          <w:szCs w:val="24"/>
        </w:rPr>
        <w:t>月国家疾控局规财法规司下达修订项目任务。</w:t>
      </w:r>
    </w:p>
    <w:p w14:paraId="3587538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w:t>
      </w:r>
      <w:r>
        <w:rPr>
          <w:rFonts w:cs="Times New Roman" w:hint="eastAsia"/>
          <w:szCs w:val="24"/>
        </w:rPr>
        <w:t>标准草案编写，形成征求意见稿</w:t>
      </w:r>
    </w:p>
    <w:p w14:paraId="239D3E1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hint="eastAsia"/>
          <w:szCs w:val="24"/>
        </w:rPr>
        <w:t>4</w:t>
      </w:r>
      <w:r>
        <w:rPr>
          <w:rFonts w:cs="Times New Roman" w:hint="eastAsia"/>
          <w:szCs w:val="24"/>
        </w:rPr>
        <w:t>月，标准修订工作启动。本标准修订项目负责人组织召开了标准修订启动会，会议邀请相关领域专家参加。会上明确了标准修订技术要点，形成了任务分工和实施方案，建立了起草专家组工作群和秘书处，正式启动本标准修订工作。</w:t>
      </w:r>
    </w:p>
    <w:p w14:paraId="6263A11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hint="eastAsia"/>
          <w:szCs w:val="24"/>
        </w:rPr>
        <w:t>4</w:t>
      </w:r>
      <w:r>
        <w:rPr>
          <w:rFonts w:cs="Times New Roman" w:hint="eastAsia"/>
          <w:szCs w:val="24"/>
        </w:rPr>
        <w:t>月至</w:t>
      </w:r>
      <w:r>
        <w:rPr>
          <w:rFonts w:cs="Times New Roman" w:hint="eastAsia"/>
          <w:szCs w:val="24"/>
        </w:rPr>
        <w:t>2025</w:t>
      </w:r>
      <w:r>
        <w:rPr>
          <w:rFonts w:cs="Times New Roman" w:hint="eastAsia"/>
          <w:szCs w:val="24"/>
        </w:rPr>
        <w:t>年</w:t>
      </w:r>
      <w:r>
        <w:rPr>
          <w:rFonts w:cs="Times New Roman" w:hint="eastAsia"/>
          <w:szCs w:val="24"/>
        </w:rPr>
        <w:t>7</w:t>
      </w:r>
      <w:r>
        <w:rPr>
          <w:rFonts w:cs="Times New Roman" w:hint="eastAsia"/>
          <w:szCs w:val="24"/>
        </w:rPr>
        <w:t>月，修订组先后召开</w:t>
      </w:r>
      <w:r>
        <w:rPr>
          <w:rFonts w:cs="Times New Roman" w:hint="eastAsia"/>
          <w:szCs w:val="24"/>
        </w:rPr>
        <w:t>5</w:t>
      </w:r>
      <w:r>
        <w:rPr>
          <w:rFonts w:cs="Times New Roman" w:hint="eastAsia"/>
          <w:szCs w:val="24"/>
        </w:rPr>
        <w:t>次组内会议，稳步推进工作。编制组完成《公共场所卫生管理规范》修订需求调查评估报告、国内外公共场所卫生管理相关文献调研报告和公共场所风险分类分级评估报告。完成甲类、乙类、丙类公共场所卫生管理要求修订与编写，形成标准工作组讨论稿（修改稿）和编制说明初稿。</w:t>
      </w:r>
    </w:p>
    <w:p w14:paraId="2328CE8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hint="eastAsia"/>
          <w:szCs w:val="24"/>
        </w:rPr>
        <w:t>8</w:t>
      </w:r>
      <w:r>
        <w:rPr>
          <w:rFonts w:cs="Times New Roman" w:hint="eastAsia"/>
          <w:szCs w:val="24"/>
        </w:rPr>
        <w:t>月</w:t>
      </w:r>
      <w:r>
        <w:rPr>
          <w:rFonts w:cs="Times New Roman" w:hint="eastAsia"/>
          <w:szCs w:val="24"/>
        </w:rPr>
        <w:t>5</w:t>
      </w:r>
      <w:r>
        <w:rPr>
          <w:rFonts w:cs="Times New Roman" w:hint="eastAsia"/>
          <w:szCs w:val="24"/>
        </w:rPr>
        <w:t>日，召开专家评审会，广泛征求专家意见。会上针对标准内容逐一讨论，形成工作组讨论稿（征求意见稿）。</w:t>
      </w:r>
    </w:p>
    <w:p w14:paraId="6F8891B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hint="eastAsia"/>
          <w:szCs w:val="24"/>
        </w:rPr>
        <w:t>8</w:t>
      </w:r>
      <w:r>
        <w:rPr>
          <w:rFonts w:cs="Times New Roman" w:hint="eastAsia"/>
          <w:szCs w:val="24"/>
        </w:rPr>
        <w:t>月至</w:t>
      </w:r>
      <w:r>
        <w:rPr>
          <w:rFonts w:cs="Times New Roman" w:hint="eastAsia"/>
          <w:szCs w:val="24"/>
        </w:rPr>
        <w:t>2025</w:t>
      </w:r>
      <w:r>
        <w:rPr>
          <w:rFonts w:cs="Times New Roman" w:hint="eastAsia"/>
          <w:szCs w:val="24"/>
        </w:rPr>
        <w:t>年</w:t>
      </w:r>
      <w:r>
        <w:rPr>
          <w:rFonts w:cs="Times New Roman" w:hint="eastAsia"/>
          <w:szCs w:val="24"/>
        </w:rPr>
        <w:t>10</w:t>
      </w:r>
      <w:r>
        <w:rPr>
          <w:rFonts w:cs="Times New Roman" w:hint="eastAsia"/>
          <w:szCs w:val="24"/>
        </w:rPr>
        <w:t>月，面向社会、高校、省市级疾控等单位广泛征求意见。</w:t>
      </w:r>
    </w:p>
    <w:p w14:paraId="654C31C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hint="eastAsia"/>
          <w:szCs w:val="24"/>
        </w:rPr>
        <w:t>11</w:t>
      </w:r>
      <w:r>
        <w:rPr>
          <w:rFonts w:cs="Times New Roman" w:hint="eastAsia"/>
          <w:szCs w:val="24"/>
        </w:rPr>
        <w:t>月至</w:t>
      </w:r>
      <w:r>
        <w:rPr>
          <w:rFonts w:cs="Times New Roman" w:hint="eastAsia"/>
          <w:szCs w:val="24"/>
        </w:rPr>
        <w:t>2025</w:t>
      </w:r>
      <w:r>
        <w:rPr>
          <w:rFonts w:cs="Times New Roman" w:hint="eastAsia"/>
          <w:szCs w:val="24"/>
        </w:rPr>
        <w:t>年</w:t>
      </w:r>
      <w:r>
        <w:rPr>
          <w:rFonts w:cs="Times New Roman" w:hint="eastAsia"/>
          <w:szCs w:val="24"/>
        </w:rPr>
        <w:t>12</w:t>
      </w:r>
      <w:r>
        <w:rPr>
          <w:rFonts w:cs="Times New Roman" w:hint="eastAsia"/>
          <w:szCs w:val="24"/>
        </w:rPr>
        <w:t>月，整理汇总意见，形成报批稿。</w:t>
      </w:r>
    </w:p>
    <w:p w14:paraId="371DFCE7" w14:textId="77777777" w:rsidR="00D4394E" w:rsidRDefault="00D4394E">
      <w:pPr>
        <w:adjustRightInd w:val="0"/>
        <w:snapToGrid w:val="0"/>
        <w:spacing w:line="240" w:lineRule="auto"/>
        <w:ind w:firstLineChars="200" w:firstLine="480"/>
        <w:rPr>
          <w:rFonts w:cs="Times New Roman"/>
          <w:szCs w:val="24"/>
        </w:rPr>
      </w:pPr>
    </w:p>
    <w:p w14:paraId="147BF57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征求各有关单位意见，汇总讨论反馈意见</w:t>
      </w:r>
    </w:p>
    <w:p w14:paraId="7283F3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2025</w:t>
      </w:r>
      <w:r>
        <w:rPr>
          <w:rFonts w:cs="Times New Roman" w:hint="eastAsia"/>
          <w:szCs w:val="24"/>
        </w:rPr>
        <w:t>年</w:t>
      </w:r>
      <w:r>
        <w:rPr>
          <w:rFonts w:cs="Times New Roman"/>
          <w:szCs w:val="24"/>
        </w:rPr>
        <w:t>8</w:t>
      </w:r>
      <w:r>
        <w:rPr>
          <w:rFonts w:cs="Times New Roman" w:hint="eastAsia"/>
          <w:szCs w:val="24"/>
        </w:rPr>
        <w:t>月至</w:t>
      </w:r>
      <w:r>
        <w:rPr>
          <w:rFonts w:cs="Times New Roman"/>
          <w:szCs w:val="24"/>
        </w:rPr>
        <w:t>10</w:t>
      </w:r>
      <w:r>
        <w:rPr>
          <w:rFonts w:cs="Times New Roman" w:hint="eastAsia"/>
          <w:szCs w:val="24"/>
        </w:rPr>
        <w:t>月，标准编制组以公开挂网和邮件的方式广泛公开地征求</w:t>
      </w:r>
      <w:r>
        <w:rPr>
          <w:rFonts w:cs="Times New Roman" w:hint="eastAsia"/>
          <w:szCs w:val="24"/>
        </w:rPr>
        <w:lastRenderedPageBreak/>
        <w:t>了意见，共征求了</w:t>
      </w:r>
      <w:r>
        <w:rPr>
          <w:rFonts w:cs="Times New Roman"/>
          <w:szCs w:val="24"/>
        </w:rPr>
        <w:t>46</w:t>
      </w:r>
      <w:r>
        <w:rPr>
          <w:rFonts w:cs="Times New Roman" w:hint="eastAsia"/>
          <w:szCs w:val="24"/>
        </w:rPr>
        <w:t>家单位和</w:t>
      </w:r>
      <w:r>
        <w:rPr>
          <w:rFonts w:cs="Times New Roman"/>
          <w:szCs w:val="24"/>
        </w:rPr>
        <w:t>30</w:t>
      </w:r>
      <w:r>
        <w:rPr>
          <w:rFonts w:cs="Times New Roman" w:hint="eastAsia"/>
          <w:szCs w:val="24"/>
        </w:rPr>
        <w:t>位个人的意见。收到回函</w:t>
      </w:r>
      <w:r>
        <w:rPr>
          <w:rFonts w:cs="Times New Roman" w:hint="eastAsia"/>
          <w:szCs w:val="24"/>
        </w:rPr>
        <w:t>25</w:t>
      </w:r>
      <w:r>
        <w:rPr>
          <w:rFonts w:cs="Times New Roman" w:hint="eastAsia"/>
          <w:szCs w:val="24"/>
        </w:rPr>
        <w:t>份，回函中有意见</w:t>
      </w:r>
      <w:r>
        <w:rPr>
          <w:rFonts w:cs="Times New Roman"/>
          <w:szCs w:val="24"/>
        </w:rPr>
        <w:t>21</w:t>
      </w:r>
      <w:r>
        <w:rPr>
          <w:rFonts w:cs="Times New Roman" w:hint="eastAsia"/>
          <w:szCs w:val="24"/>
        </w:rPr>
        <w:t>份，共</w:t>
      </w:r>
      <w:r>
        <w:rPr>
          <w:rFonts w:cs="Times New Roman"/>
          <w:szCs w:val="24"/>
        </w:rPr>
        <w:t>178</w:t>
      </w:r>
      <w:r>
        <w:rPr>
          <w:rFonts w:cs="Times New Roman" w:hint="eastAsia"/>
          <w:szCs w:val="24"/>
        </w:rPr>
        <w:t>条，其中</w:t>
      </w:r>
      <w:r>
        <w:rPr>
          <w:rFonts w:cs="Times New Roman" w:hint="eastAsia"/>
          <w:szCs w:val="24"/>
        </w:rPr>
        <w:t>163</w:t>
      </w:r>
      <w:r>
        <w:rPr>
          <w:rFonts w:cs="Times New Roman" w:hint="eastAsia"/>
          <w:szCs w:val="24"/>
        </w:rPr>
        <w:t>条意见已采纳，</w:t>
      </w:r>
      <w:r>
        <w:rPr>
          <w:rFonts w:cs="Times New Roman" w:hint="eastAsia"/>
          <w:szCs w:val="24"/>
        </w:rPr>
        <w:t>15</w:t>
      </w:r>
      <w:r>
        <w:rPr>
          <w:rFonts w:cs="Times New Roman" w:hint="eastAsia"/>
          <w:szCs w:val="24"/>
        </w:rPr>
        <w:t>条意见部分采纳，</w:t>
      </w:r>
      <w:r>
        <w:rPr>
          <w:rFonts w:cs="Times New Roman" w:hint="eastAsia"/>
          <w:szCs w:val="24"/>
        </w:rPr>
        <w:t>0</w:t>
      </w:r>
      <w:r>
        <w:rPr>
          <w:rFonts w:cs="Times New Roman" w:hint="eastAsia"/>
          <w:szCs w:val="24"/>
        </w:rPr>
        <w:t>条意见未采纳；无意见</w:t>
      </w:r>
      <w:r>
        <w:rPr>
          <w:rFonts w:cs="Times New Roman" w:hint="eastAsia"/>
          <w:szCs w:val="24"/>
        </w:rPr>
        <w:t>4</w:t>
      </w:r>
      <w:r>
        <w:rPr>
          <w:rFonts w:cs="Times New Roman" w:hint="eastAsia"/>
          <w:szCs w:val="24"/>
        </w:rPr>
        <w:t>份。</w:t>
      </w:r>
    </w:p>
    <w:p w14:paraId="4B2EB914" w14:textId="77777777" w:rsidR="00D4394E" w:rsidRDefault="00D4394E">
      <w:pPr>
        <w:adjustRightInd w:val="0"/>
        <w:snapToGrid w:val="0"/>
        <w:spacing w:line="240" w:lineRule="auto"/>
        <w:ind w:firstLineChars="200" w:firstLine="480"/>
        <w:rPr>
          <w:rFonts w:cs="Times New Roman"/>
          <w:i/>
          <w:iCs/>
          <w:szCs w:val="24"/>
        </w:rPr>
      </w:pPr>
    </w:p>
    <w:p w14:paraId="5A7F07CF" w14:textId="77777777" w:rsidR="00D4394E" w:rsidRDefault="00000000">
      <w:pPr>
        <w:adjustRightInd w:val="0"/>
        <w:snapToGrid w:val="0"/>
        <w:spacing w:line="240" w:lineRule="auto"/>
        <w:ind w:firstLineChars="200" w:firstLine="480"/>
        <w:rPr>
          <w:rFonts w:cs="Times New Roman"/>
          <w:i/>
          <w:iCs/>
          <w:szCs w:val="24"/>
        </w:rPr>
      </w:pPr>
      <w:r>
        <w:rPr>
          <w:rFonts w:cs="Times New Roman" w:hint="eastAsia"/>
          <w:i/>
          <w:iCs/>
          <w:szCs w:val="24"/>
        </w:rPr>
        <w:t>收到预审会意见</w:t>
      </w:r>
      <w:r>
        <w:rPr>
          <w:rFonts w:cs="Times New Roman" w:hint="eastAsia"/>
          <w:i/>
          <w:iCs/>
          <w:szCs w:val="24"/>
        </w:rPr>
        <w:t>XX</w:t>
      </w:r>
      <w:r>
        <w:rPr>
          <w:rFonts w:cs="Times New Roman" w:hint="eastAsia"/>
          <w:i/>
          <w:iCs/>
          <w:szCs w:val="24"/>
        </w:rPr>
        <w:t>条。</w:t>
      </w:r>
      <w:r>
        <w:rPr>
          <w:rFonts w:cs="Times New Roman" w:hint="eastAsia"/>
          <w:i/>
          <w:iCs/>
          <w:szCs w:val="24"/>
        </w:rPr>
        <w:t>XX</w:t>
      </w:r>
      <w:r>
        <w:rPr>
          <w:rFonts w:cs="Times New Roman" w:hint="eastAsia"/>
          <w:i/>
          <w:iCs/>
          <w:szCs w:val="24"/>
        </w:rPr>
        <w:t>条意见已采纳或部分采纳，</w:t>
      </w:r>
      <w:r>
        <w:rPr>
          <w:rFonts w:cs="Times New Roman" w:hint="eastAsia"/>
          <w:i/>
          <w:iCs/>
          <w:szCs w:val="24"/>
        </w:rPr>
        <w:t>X</w:t>
      </w:r>
      <w:r>
        <w:rPr>
          <w:rFonts w:cs="Times New Roman" w:hint="eastAsia"/>
          <w:i/>
          <w:iCs/>
          <w:szCs w:val="24"/>
        </w:rPr>
        <w:t>条意见未采纳。</w:t>
      </w:r>
    </w:p>
    <w:p w14:paraId="565B7E58" w14:textId="77777777" w:rsidR="00D4394E" w:rsidRDefault="00000000">
      <w:pPr>
        <w:adjustRightInd w:val="0"/>
        <w:snapToGrid w:val="0"/>
        <w:spacing w:line="240" w:lineRule="auto"/>
        <w:ind w:firstLineChars="200" w:firstLine="480"/>
        <w:rPr>
          <w:rFonts w:cs="Times New Roman"/>
          <w:i/>
          <w:iCs/>
          <w:szCs w:val="24"/>
        </w:rPr>
      </w:pPr>
      <w:r>
        <w:rPr>
          <w:rFonts w:cs="Times New Roman" w:hint="eastAsia"/>
          <w:i/>
          <w:iCs/>
          <w:szCs w:val="24"/>
        </w:rPr>
        <w:t>收到协调性审查意见</w:t>
      </w:r>
      <w:r>
        <w:rPr>
          <w:rFonts w:cs="Times New Roman" w:hint="eastAsia"/>
          <w:i/>
          <w:iCs/>
          <w:szCs w:val="24"/>
        </w:rPr>
        <w:t>XX</w:t>
      </w:r>
      <w:r>
        <w:rPr>
          <w:rFonts w:cs="Times New Roman" w:hint="eastAsia"/>
          <w:i/>
          <w:iCs/>
          <w:szCs w:val="24"/>
        </w:rPr>
        <w:t>条。意见已采纳或部分采纳</w:t>
      </w:r>
      <w:r>
        <w:rPr>
          <w:rFonts w:cs="Times New Roman" w:hint="eastAsia"/>
          <w:i/>
          <w:iCs/>
          <w:szCs w:val="24"/>
        </w:rPr>
        <w:t>XX</w:t>
      </w:r>
      <w:r>
        <w:rPr>
          <w:rFonts w:cs="Times New Roman" w:hint="eastAsia"/>
          <w:i/>
          <w:iCs/>
          <w:szCs w:val="24"/>
        </w:rPr>
        <w:t>条，</w:t>
      </w:r>
      <w:r>
        <w:rPr>
          <w:rFonts w:cs="Times New Roman" w:hint="eastAsia"/>
          <w:i/>
          <w:iCs/>
          <w:szCs w:val="24"/>
        </w:rPr>
        <w:t>X</w:t>
      </w:r>
      <w:r>
        <w:rPr>
          <w:rFonts w:cs="Times New Roman" w:hint="eastAsia"/>
          <w:i/>
          <w:iCs/>
          <w:szCs w:val="24"/>
        </w:rPr>
        <w:t>条意见未采纳。不采纳意见的理由见征求意见汇总表。</w:t>
      </w:r>
    </w:p>
    <w:p w14:paraId="0F0AD043" w14:textId="77777777" w:rsidR="00D4394E" w:rsidRDefault="00000000">
      <w:pPr>
        <w:widowControl/>
        <w:numPr>
          <w:ilvl w:val="255"/>
          <w:numId w:val="0"/>
        </w:numPr>
        <w:adjustRightInd w:val="0"/>
        <w:snapToGrid w:val="0"/>
        <w:spacing w:line="240" w:lineRule="auto"/>
        <w:ind w:firstLineChars="200" w:firstLine="480"/>
        <w:rPr>
          <w:rFonts w:cs="Times New Roman"/>
          <w:i/>
          <w:iCs/>
          <w:szCs w:val="24"/>
        </w:rPr>
      </w:pPr>
      <w:r>
        <w:rPr>
          <w:rFonts w:cs="Times New Roman" w:hint="eastAsia"/>
          <w:i/>
          <w:iCs/>
          <w:szCs w:val="24"/>
        </w:rPr>
        <w:t>4.</w:t>
      </w:r>
      <w:r>
        <w:rPr>
          <w:rFonts w:cs="Times New Roman" w:hint="eastAsia"/>
          <w:i/>
          <w:iCs/>
          <w:szCs w:val="24"/>
        </w:rPr>
        <w:t>通过标委会审查，进一步修改完善后形成报批稿</w:t>
      </w:r>
    </w:p>
    <w:p w14:paraId="2CE44919" w14:textId="77777777" w:rsidR="00D4394E" w:rsidRDefault="00000000">
      <w:pPr>
        <w:widowControl/>
        <w:numPr>
          <w:ilvl w:val="255"/>
          <w:numId w:val="0"/>
        </w:numPr>
        <w:adjustRightInd w:val="0"/>
        <w:snapToGrid w:val="0"/>
        <w:spacing w:line="240" w:lineRule="auto"/>
        <w:ind w:firstLineChars="200" w:firstLine="480"/>
        <w:rPr>
          <w:rFonts w:cs="Times New Roman"/>
          <w:i/>
          <w:iCs/>
          <w:szCs w:val="24"/>
        </w:rPr>
      </w:pPr>
      <w:r>
        <w:rPr>
          <w:rFonts w:cs="Times New Roman" w:hint="eastAsia"/>
          <w:i/>
          <w:iCs/>
          <w:szCs w:val="24"/>
        </w:rPr>
        <w:t>5.</w:t>
      </w:r>
      <w:r>
        <w:rPr>
          <w:rFonts w:cs="Times New Roman" w:hint="eastAsia"/>
          <w:i/>
          <w:iCs/>
          <w:szCs w:val="24"/>
        </w:rPr>
        <w:t>国标委挂网征集意见，根据反馈意见进行标准文本修改</w:t>
      </w:r>
    </w:p>
    <w:p w14:paraId="4CD504BF" w14:textId="77777777" w:rsidR="00D4394E" w:rsidRDefault="00000000">
      <w:pPr>
        <w:widowControl/>
        <w:adjustRightInd w:val="0"/>
        <w:snapToGrid w:val="0"/>
        <w:spacing w:line="240" w:lineRule="auto"/>
        <w:ind w:firstLineChars="200" w:firstLine="480"/>
        <w:rPr>
          <w:rFonts w:cs="Times New Roman"/>
          <w:i/>
          <w:iCs/>
          <w:szCs w:val="24"/>
        </w:rPr>
      </w:pPr>
      <w:r>
        <w:rPr>
          <w:rFonts w:cs="Times New Roman" w:hint="eastAsia"/>
          <w:i/>
          <w:iCs/>
          <w:szCs w:val="24"/>
        </w:rPr>
        <w:t>6.</w:t>
      </w:r>
      <w:r>
        <w:rPr>
          <w:rFonts w:cs="Times New Roman" w:hint="eastAsia"/>
          <w:i/>
          <w:iCs/>
          <w:szCs w:val="24"/>
        </w:rPr>
        <w:t>标委会召开专家评审会，根据专家意见再次对标准文本和编制说明进行修改</w:t>
      </w:r>
    </w:p>
    <w:p w14:paraId="2323E3DD" w14:textId="77777777" w:rsidR="00D4394E" w:rsidRDefault="00D4394E">
      <w:pPr>
        <w:widowControl/>
        <w:adjustRightInd w:val="0"/>
        <w:snapToGrid w:val="0"/>
        <w:spacing w:line="240" w:lineRule="auto"/>
        <w:ind w:firstLineChars="200" w:firstLine="480"/>
        <w:rPr>
          <w:rFonts w:cs="Times New Roman"/>
          <w:i/>
          <w:iCs/>
          <w:szCs w:val="24"/>
        </w:rPr>
      </w:pPr>
    </w:p>
    <w:p w14:paraId="32E94BE9" w14:textId="77777777" w:rsidR="00D4394E" w:rsidRDefault="00000000">
      <w:pPr>
        <w:pStyle w:val="1"/>
        <w:spacing w:before="0" w:after="0"/>
        <w:rPr>
          <w:sz w:val="28"/>
        </w:rPr>
      </w:pPr>
      <w:bookmarkStart w:id="70" w:name="_Toc1889"/>
      <w:bookmarkStart w:id="71" w:name="_Toc5647"/>
      <w:bookmarkStart w:id="72" w:name="_Toc8760"/>
      <w:bookmarkStart w:id="73" w:name="_Toc434"/>
      <w:bookmarkStart w:id="74" w:name="_Toc25482"/>
      <w:bookmarkStart w:id="75" w:name="_Toc16669"/>
      <w:bookmarkStart w:id="76" w:name="_Toc67407051"/>
      <w:bookmarkStart w:id="77" w:name="_Toc93656996"/>
      <w:bookmarkStart w:id="78" w:name="_Toc1075"/>
      <w:bookmarkStart w:id="79" w:name="_Toc20202"/>
      <w:bookmarkStart w:id="80" w:name="_Toc9986"/>
      <w:bookmarkStart w:id="81" w:name="_Toc2595"/>
      <w:bookmarkStart w:id="82" w:name="_Toc69553238"/>
      <w:bookmarkStart w:id="83" w:name="_Toc22207"/>
      <w:bookmarkStart w:id="84" w:name="_Toc6342"/>
      <w:bookmarkStart w:id="85" w:name="_Toc4585"/>
      <w:bookmarkStart w:id="86" w:name="_Toc67407049"/>
      <w:bookmarkStart w:id="87" w:name="_Toc93656994"/>
      <w:bookmarkStart w:id="88" w:name="_Toc69553230"/>
      <w:r>
        <w:rPr>
          <w:rFonts w:hint="eastAsia"/>
          <w:sz w:val="28"/>
        </w:rPr>
        <w:t>二、编制原则、强制性国家标准主要技术要求的依据及理由</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B11ED15" w14:textId="77777777" w:rsidR="00D4394E" w:rsidRDefault="00000000">
      <w:pPr>
        <w:pStyle w:val="2"/>
        <w:spacing w:before="156" w:after="156"/>
        <w:ind w:firstLine="482"/>
        <w:rPr>
          <w:b w:val="0"/>
          <w:bCs w:val="0"/>
        </w:rPr>
      </w:pPr>
      <w:bookmarkStart w:id="89" w:name="_Toc12654"/>
      <w:bookmarkStart w:id="90" w:name="_Toc9633"/>
      <w:bookmarkStart w:id="91" w:name="_Toc12598"/>
      <w:bookmarkStart w:id="92" w:name="_Toc2447"/>
      <w:bookmarkStart w:id="93" w:name="_Toc2870"/>
      <w:bookmarkStart w:id="94" w:name="_Toc24641"/>
      <w:bookmarkStart w:id="95" w:name="_Toc4075"/>
      <w:bookmarkStart w:id="96" w:name="_Toc11034"/>
      <w:bookmarkStart w:id="97" w:name="_Toc31742"/>
      <w:bookmarkStart w:id="98" w:name="_Toc4485"/>
      <w:bookmarkStart w:id="99" w:name="_Toc8747"/>
      <w:bookmarkStart w:id="100" w:name="_Toc67407052"/>
      <w:bookmarkStart w:id="101" w:name="_Toc91173572"/>
      <w:bookmarkStart w:id="102" w:name="_Toc69553239"/>
      <w:r>
        <w:rPr>
          <w:rFonts w:hint="eastAsia"/>
        </w:rPr>
        <w:t>（一）编制原则</w:t>
      </w:r>
      <w:bookmarkEnd w:id="89"/>
      <w:bookmarkEnd w:id="90"/>
      <w:bookmarkEnd w:id="91"/>
      <w:bookmarkEnd w:id="92"/>
      <w:bookmarkEnd w:id="93"/>
      <w:bookmarkEnd w:id="94"/>
      <w:bookmarkEnd w:id="95"/>
      <w:bookmarkEnd w:id="96"/>
      <w:bookmarkEnd w:id="97"/>
      <w:bookmarkEnd w:id="98"/>
      <w:bookmarkEnd w:id="99"/>
    </w:p>
    <w:p w14:paraId="39C1046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综合标准前期研究成果，立足于我国公共场所现状及卫生管理特点，开展本标准修订工作。本标准的修订基于《公共场所卫生管理条例》</w:t>
      </w:r>
      <w:r>
        <w:rPr>
          <w:rFonts w:cs="Times New Roman"/>
          <w:szCs w:val="24"/>
        </w:rPr>
        <w:t>2024</w:t>
      </w:r>
      <w:r>
        <w:rPr>
          <w:rFonts w:cs="Times New Roman" w:hint="eastAsia"/>
          <w:szCs w:val="24"/>
        </w:rPr>
        <w:t>年修订内容，旨在提升公共场所卫生管理的</w:t>
      </w:r>
      <w:bookmarkStart w:id="103" w:name="OLE_LINK11"/>
      <w:bookmarkStart w:id="104" w:name="OLE_LINK10"/>
      <w:r>
        <w:rPr>
          <w:rFonts w:cs="Times New Roman" w:hint="eastAsia"/>
          <w:szCs w:val="24"/>
        </w:rPr>
        <w:t>先进性</w:t>
      </w:r>
      <w:bookmarkEnd w:id="103"/>
      <w:bookmarkEnd w:id="104"/>
      <w:r>
        <w:rPr>
          <w:rFonts w:cs="Times New Roman" w:hint="eastAsia"/>
          <w:szCs w:val="24"/>
        </w:rPr>
        <w:t>和实用性，提出依据公共场所健康风险等级分类分级管理的思路，坚持公共场所放管结合，保障人民群众的卫生安全。</w:t>
      </w:r>
    </w:p>
    <w:p w14:paraId="3CD227ED"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1. </w:t>
      </w:r>
      <w:r>
        <w:rPr>
          <w:rFonts w:cs="Times New Roman" w:hint="eastAsia"/>
          <w:szCs w:val="24"/>
        </w:rPr>
        <w:t>提升先进性。基于国内外文献调研，研判公共场所的健康风险等级，对卫生检测实施分类管理；增加疫情暴发时期卫生防控要求，提升标准先进性。</w:t>
      </w:r>
    </w:p>
    <w:p w14:paraId="65528065"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2. </w:t>
      </w:r>
      <w:r>
        <w:rPr>
          <w:rFonts w:cs="Times New Roman" w:hint="eastAsia"/>
          <w:szCs w:val="24"/>
        </w:rPr>
        <w:t>考虑实用性。依据公共场所监测技术发展和现场检测的实际需求，纳入快速检测和在线监测等新技术，提升在监督过程中的实用性。</w:t>
      </w:r>
    </w:p>
    <w:p w14:paraId="29147F9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3. </w:t>
      </w:r>
      <w:r>
        <w:rPr>
          <w:rFonts w:cs="Times New Roman" w:hint="eastAsia"/>
          <w:szCs w:val="24"/>
        </w:rPr>
        <w:t>注重可操作性。将推荐性条款转为强制性，强化执法依据；按模块重新整合卫生要求条款，提升标准在卫生监督管理过程中的的可操作性。</w:t>
      </w:r>
    </w:p>
    <w:p w14:paraId="127019C7"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 </w:t>
      </w:r>
      <w:r>
        <w:rPr>
          <w:rFonts w:cs="Times New Roman" w:hint="eastAsia"/>
          <w:szCs w:val="24"/>
        </w:rPr>
        <w:t>保证规范性。本标准为强制性国家标准，严格执行强制性国家标准的相关规定，格式严格按照</w:t>
      </w:r>
      <w:r>
        <w:rPr>
          <w:rFonts w:cs="Times New Roman"/>
          <w:szCs w:val="24"/>
        </w:rPr>
        <w:t xml:space="preserve"> GB/T </w:t>
      </w:r>
      <w:r>
        <w:rPr>
          <w:rFonts w:cs="Times New Roman" w:hint="eastAsia"/>
          <w:szCs w:val="24"/>
        </w:rPr>
        <w:t>1.1</w:t>
      </w:r>
      <w:r>
        <w:rPr>
          <w:rFonts w:cs="Times New Roman" w:hint="eastAsia"/>
          <w:szCs w:val="24"/>
        </w:rPr>
        <w:t>—</w:t>
      </w:r>
      <w:r>
        <w:rPr>
          <w:rFonts w:cs="Times New Roman" w:hint="eastAsia"/>
          <w:szCs w:val="24"/>
        </w:rPr>
        <w:t>2020</w:t>
      </w:r>
      <w:r>
        <w:rPr>
          <w:rFonts w:cs="Times New Roman" w:hint="eastAsia"/>
          <w:szCs w:val="24"/>
        </w:rPr>
        <w:t>《标准化工作导则》的规定进行编制。</w:t>
      </w:r>
    </w:p>
    <w:p w14:paraId="7199B12B" w14:textId="77777777" w:rsidR="00D4394E" w:rsidRDefault="00D4394E">
      <w:pPr>
        <w:adjustRightInd w:val="0"/>
        <w:snapToGrid w:val="0"/>
        <w:spacing w:line="240" w:lineRule="auto"/>
        <w:ind w:firstLineChars="200" w:firstLine="480"/>
        <w:rPr>
          <w:rFonts w:cs="Times New Roman"/>
          <w:szCs w:val="24"/>
        </w:rPr>
      </w:pPr>
    </w:p>
    <w:p w14:paraId="302EC29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为了梳理各类公共场所传染病风险防控的重点环节，修订组还结合重点公共场所环境健康情景特点，系统地梳理了场所内健康风险位点、健康风险防控环节及防控措施等卫生管理需求要点（典型公共场所病原微生物风险控制需求，人民卫生出版社，</w:t>
      </w:r>
      <w:r>
        <w:rPr>
          <w:rFonts w:cs="Times New Roman" w:hint="eastAsia"/>
          <w:szCs w:val="24"/>
        </w:rPr>
        <w:t>2025</w:t>
      </w:r>
      <w:r>
        <w:rPr>
          <w:rFonts w:cs="Times New Roman" w:hint="eastAsia"/>
          <w:szCs w:val="24"/>
        </w:rPr>
        <w:t>），为本标准梳理基本卫生要求、卫生管理和从业人员管理相关技术要点提供技术支持。</w:t>
      </w:r>
    </w:p>
    <w:p w14:paraId="0CEB2FF0" w14:textId="77777777" w:rsidR="00D4394E" w:rsidRDefault="00D4394E">
      <w:pPr>
        <w:adjustRightInd w:val="0"/>
        <w:snapToGrid w:val="0"/>
        <w:spacing w:line="240" w:lineRule="auto"/>
        <w:ind w:firstLineChars="200" w:firstLine="480"/>
        <w:rPr>
          <w:rFonts w:cs="Times New Roman"/>
          <w:szCs w:val="24"/>
        </w:rPr>
      </w:pPr>
    </w:p>
    <w:p w14:paraId="359AB5F2" w14:textId="77777777" w:rsidR="00D4394E" w:rsidRDefault="00000000">
      <w:pPr>
        <w:pStyle w:val="2"/>
        <w:spacing w:before="156" w:after="156" w:line="240" w:lineRule="auto"/>
        <w:ind w:firstLine="482"/>
        <w:rPr>
          <w:b w:val="0"/>
          <w:bCs w:val="0"/>
        </w:rPr>
      </w:pPr>
      <w:bookmarkStart w:id="105" w:name="_Toc31145"/>
      <w:bookmarkStart w:id="106" w:name="_Toc3438"/>
      <w:bookmarkStart w:id="107" w:name="_Toc6994"/>
      <w:bookmarkStart w:id="108" w:name="_Toc10664"/>
      <w:bookmarkStart w:id="109" w:name="_Toc384"/>
      <w:bookmarkStart w:id="110" w:name="_Toc19427"/>
      <w:bookmarkStart w:id="111" w:name="_Toc8593"/>
      <w:bookmarkStart w:id="112" w:name="_Toc4702"/>
      <w:bookmarkStart w:id="113" w:name="_Toc30315"/>
      <w:bookmarkStart w:id="114" w:name="_Toc25991"/>
      <w:bookmarkStart w:id="115" w:name="_Toc2923"/>
      <w:r>
        <w:rPr>
          <w:rFonts w:hint="eastAsia"/>
        </w:rPr>
        <w:t>（二）主要技术要求的依据及理由</w:t>
      </w:r>
      <w:bookmarkEnd w:id="105"/>
      <w:bookmarkEnd w:id="106"/>
      <w:bookmarkEnd w:id="107"/>
      <w:bookmarkEnd w:id="108"/>
      <w:bookmarkEnd w:id="109"/>
      <w:bookmarkEnd w:id="110"/>
      <w:bookmarkEnd w:id="111"/>
      <w:bookmarkEnd w:id="112"/>
      <w:bookmarkEnd w:id="113"/>
      <w:bookmarkEnd w:id="114"/>
      <w:bookmarkEnd w:id="115"/>
    </w:p>
    <w:p w14:paraId="0B42E1C1" w14:textId="77777777" w:rsidR="00D4394E" w:rsidRDefault="00000000">
      <w:pPr>
        <w:pStyle w:val="3"/>
        <w:spacing w:line="240" w:lineRule="auto"/>
        <w:ind w:firstLine="482"/>
        <w:rPr>
          <w:b w:val="0"/>
          <w:bCs w:val="0"/>
        </w:rPr>
      </w:pPr>
      <w:bookmarkStart w:id="116" w:name="_Toc7897"/>
      <w:bookmarkStart w:id="117" w:name="_Toc27821"/>
      <w:bookmarkStart w:id="118" w:name="_Toc22587"/>
      <w:bookmarkStart w:id="119" w:name="_Toc26648"/>
      <w:bookmarkStart w:id="120" w:name="_Toc20304"/>
      <w:bookmarkStart w:id="121" w:name="_Toc1081"/>
      <w:bookmarkStart w:id="122" w:name="_Toc30423"/>
      <w:bookmarkStart w:id="123" w:name="_Toc25933"/>
      <w:bookmarkStart w:id="124" w:name="_Toc3711"/>
      <w:bookmarkStart w:id="125" w:name="_Toc27889"/>
      <w:bookmarkStart w:id="126" w:name="_Toc30055"/>
      <w:r>
        <w:t>1.</w:t>
      </w:r>
      <w:r>
        <w:rPr>
          <w:rFonts w:hint="eastAsia"/>
        </w:rPr>
        <w:t>标准的主要技术要求</w:t>
      </w:r>
      <w:bookmarkEnd w:id="116"/>
      <w:bookmarkEnd w:id="117"/>
      <w:bookmarkEnd w:id="118"/>
      <w:bookmarkEnd w:id="119"/>
      <w:bookmarkEnd w:id="120"/>
      <w:bookmarkEnd w:id="121"/>
      <w:bookmarkEnd w:id="122"/>
      <w:bookmarkEnd w:id="123"/>
      <w:bookmarkEnd w:id="124"/>
      <w:bookmarkEnd w:id="125"/>
      <w:bookmarkEnd w:id="126"/>
    </w:p>
    <w:p w14:paraId="1FDB5E9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本文件主要由前言、引言、范围、规范性引用文件、术语和定义、基本卫生要求、卫生管理、从业人员卫生、疫情暴发地区公共场所卫生防控要求、附录</w:t>
      </w:r>
      <w:r>
        <w:rPr>
          <w:rFonts w:cs="Times New Roman" w:hint="eastAsia"/>
          <w:szCs w:val="24"/>
        </w:rPr>
        <w:t>A</w:t>
      </w:r>
      <w:r>
        <w:rPr>
          <w:rFonts w:cs="Times New Roman" w:hint="eastAsia"/>
          <w:szCs w:val="24"/>
        </w:rPr>
        <w:t>常见公共用品用具配备基本要求、附录</w:t>
      </w:r>
      <w:r>
        <w:rPr>
          <w:rFonts w:cs="Times New Roman" w:hint="eastAsia"/>
          <w:szCs w:val="24"/>
        </w:rPr>
        <w:t>B</w:t>
      </w:r>
      <w:r>
        <w:rPr>
          <w:rFonts w:cs="Times New Roman" w:hint="eastAsia"/>
          <w:szCs w:val="24"/>
        </w:rPr>
        <w:t>常见公共用品换洗消毒管理与手卫生基本要求两个附录构成。本标准涉及的内容均为修订。</w:t>
      </w:r>
    </w:p>
    <w:p w14:paraId="3DC97B09" w14:textId="77777777" w:rsidR="00D4394E" w:rsidRDefault="00000000">
      <w:pPr>
        <w:pStyle w:val="3"/>
        <w:numPr>
          <w:ilvl w:val="255"/>
          <w:numId w:val="0"/>
        </w:numPr>
        <w:spacing w:line="240" w:lineRule="auto"/>
        <w:ind w:firstLine="482"/>
      </w:pPr>
      <w:bookmarkStart w:id="127" w:name="_Toc16320"/>
      <w:bookmarkStart w:id="128" w:name="_Toc27636"/>
      <w:bookmarkStart w:id="129" w:name="_Toc19750"/>
      <w:bookmarkStart w:id="130" w:name="_Toc10666"/>
      <w:bookmarkStart w:id="131" w:name="_Toc9811"/>
      <w:bookmarkStart w:id="132" w:name="_Toc4675"/>
      <w:bookmarkStart w:id="133" w:name="_Toc16705"/>
      <w:bookmarkStart w:id="134" w:name="_Toc30598"/>
      <w:bookmarkStart w:id="135" w:name="_Toc20688"/>
      <w:bookmarkStart w:id="136" w:name="_Toc6980"/>
      <w:bookmarkStart w:id="137" w:name="_Toc3583"/>
      <w:r>
        <w:rPr>
          <w:rFonts w:hint="eastAsia"/>
        </w:rPr>
        <w:t>2.</w:t>
      </w:r>
      <w:r>
        <w:rPr>
          <w:rFonts w:hint="eastAsia"/>
        </w:rPr>
        <w:t>主要修订内容</w:t>
      </w:r>
      <w:bookmarkEnd w:id="127"/>
      <w:bookmarkEnd w:id="128"/>
      <w:bookmarkEnd w:id="129"/>
      <w:bookmarkEnd w:id="130"/>
      <w:bookmarkEnd w:id="131"/>
      <w:bookmarkEnd w:id="132"/>
      <w:bookmarkEnd w:id="133"/>
      <w:bookmarkEnd w:id="134"/>
      <w:bookmarkEnd w:id="135"/>
      <w:bookmarkEnd w:id="136"/>
      <w:bookmarkEnd w:id="137"/>
    </w:p>
    <w:p w14:paraId="7581E57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本标准主要修订内容包括：</w:t>
      </w:r>
    </w:p>
    <w:p w14:paraId="134D780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lastRenderedPageBreak/>
        <w:t>依据</w:t>
      </w:r>
      <w:r>
        <w:rPr>
          <w:rFonts w:cs="Times New Roman" w:hint="eastAsia"/>
          <w:szCs w:val="24"/>
        </w:rPr>
        <w:t>GB/T</w:t>
      </w:r>
      <w:r>
        <w:rPr>
          <w:rFonts w:cs="Times New Roman"/>
          <w:szCs w:val="24"/>
        </w:rPr>
        <w:t xml:space="preserve"> </w:t>
      </w:r>
      <w:r>
        <w:rPr>
          <w:rFonts w:cs="Times New Roman" w:hint="eastAsia"/>
          <w:szCs w:val="24"/>
        </w:rPr>
        <w:t>1.1-2020</w:t>
      </w:r>
      <w:r>
        <w:rPr>
          <w:rFonts w:cs="Times New Roman" w:hint="eastAsia"/>
          <w:szCs w:val="24"/>
        </w:rPr>
        <w:t>《标准化工作导则第</w:t>
      </w:r>
      <w:r>
        <w:rPr>
          <w:rFonts w:cs="Times New Roman" w:hint="eastAsia"/>
          <w:szCs w:val="24"/>
        </w:rPr>
        <w:t>1</w:t>
      </w:r>
      <w:r>
        <w:rPr>
          <w:rFonts w:cs="Times New Roman" w:hint="eastAsia"/>
          <w:szCs w:val="24"/>
        </w:rPr>
        <w:t>部分：标准化文件的结构和起草规则》修改了标准文本的结构，包括章、条的编排，条款的描述，符号的表示等。</w:t>
      </w:r>
    </w:p>
    <w:p w14:paraId="1E025E0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本标准与</w:t>
      </w:r>
      <w:r>
        <w:rPr>
          <w:rFonts w:cs="Times New Roman" w:hint="eastAsia"/>
          <w:szCs w:val="24"/>
        </w:rPr>
        <w:t>GB</w:t>
      </w:r>
      <w:r>
        <w:rPr>
          <w:rFonts w:cs="Times New Roman"/>
          <w:szCs w:val="24"/>
        </w:rPr>
        <w:t xml:space="preserve"> </w:t>
      </w:r>
      <w:r>
        <w:rPr>
          <w:rFonts w:cs="Times New Roman" w:hint="eastAsia"/>
          <w:szCs w:val="24"/>
        </w:rPr>
        <w:t>37487-2019</w:t>
      </w:r>
      <w:r>
        <w:rPr>
          <w:rFonts w:cs="Times New Roman" w:hint="eastAsia"/>
          <w:szCs w:val="24"/>
        </w:rPr>
        <w:t>相比，主要技术变化如下：</w:t>
      </w:r>
    </w:p>
    <w:p w14:paraId="5BDD7F24"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将原标准中部分推荐性规定修改为强制性规定；</w:t>
      </w:r>
    </w:p>
    <w:p w14:paraId="5B63710D"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增加了引言；</w:t>
      </w:r>
    </w:p>
    <w:p w14:paraId="10F4EBEC"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w:t>
      </w:r>
      <w:r>
        <w:rPr>
          <w:rFonts w:cs="Times New Roman"/>
          <w:szCs w:val="24"/>
        </w:rPr>
        <w:t>4</w:t>
      </w:r>
      <w:r>
        <w:rPr>
          <w:rFonts w:cs="Times New Roman" w:hint="eastAsia"/>
          <w:szCs w:val="24"/>
        </w:rPr>
        <w:t>项规范性引用文件（见第</w:t>
      </w:r>
      <w:r>
        <w:rPr>
          <w:rFonts w:cs="Times New Roman" w:hint="eastAsia"/>
          <w:szCs w:val="24"/>
        </w:rPr>
        <w:t>2</w:t>
      </w:r>
      <w:r>
        <w:rPr>
          <w:rFonts w:cs="Times New Roman" w:hint="eastAsia"/>
          <w:szCs w:val="24"/>
        </w:rPr>
        <w:t>章</w:t>
      </w:r>
      <w:r>
        <w:rPr>
          <w:rFonts w:hint="eastAsia"/>
        </w:rPr>
        <w:t>，</w:t>
      </w:r>
      <w:r>
        <w:rPr>
          <w:rFonts w:hint="eastAsia"/>
        </w:rPr>
        <w:t>2019</w:t>
      </w:r>
      <w:r>
        <w:rPr>
          <w:rFonts w:hint="eastAsia"/>
        </w:rPr>
        <w:t>年版的第</w:t>
      </w:r>
      <w:r>
        <w:rPr>
          <w:rFonts w:hint="eastAsia"/>
        </w:rPr>
        <w:t>2</w:t>
      </w:r>
      <w:r>
        <w:rPr>
          <w:rFonts w:hint="eastAsia"/>
        </w:rPr>
        <w:t>章</w:t>
      </w:r>
      <w:r>
        <w:rPr>
          <w:rFonts w:cs="Times New Roman" w:hint="eastAsia"/>
          <w:szCs w:val="24"/>
        </w:rPr>
        <w:t>）；</w:t>
      </w:r>
    </w:p>
    <w:p w14:paraId="1F0B7B4D"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w:t>
      </w:r>
      <w:r>
        <w:rPr>
          <w:rFonts w:cs="Times New Roman"/>
          <w:szCs w:val="24"/>
        </w:rPr>
        <w:t>2</w:t>
      </w:r>
      <w:r>
        <w:rPr>
          <w:rFonts w:cs="Times New Roman" w:hint="eastAsia"/>
          <w:szCs w:val="24"/>
        </w:rPr>
        <w:t>项术语和定义（见</w:t>
      </w:r>
      <w:r>
        <w:rPr>
          <w:rFonts w:cs="Times New Roman"/>
          <w:szCs w:val="24"/>
        </w:rPr>
        <w:t>3.2</w:t>
      </w:r>
      <w:r>
        <w:rPr>
          <w:rFonts w:cs="Times New Roman" w:hint="eastAsia"/>
          <w:szCs w:val="24"/>
        </w:rPr>
        <w:t>、</w:t>
      </w:r>
      <w:r>
        <w:rPr>
          <w:rFonts w:cs="Times New Roman"/>
          <w:szCs w:val="24"/>
        </w:rPr>
        <w:t>3.4</w:t>
      </w:r>
      <w:r>
        <w:rPr>
          <w:rFonts w:cs="Times New Roman" w:hint="eastAsia"/>
          <w:szCs w:val="24"/>
        </w:rPr>
        <w:t>）；</w:t>
      </w:r>
    </w:p>
    <w:p w14:paraId="16860627"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增加了通风与空调（</w:t>
      </w:r>
      <w:r>
        <w:rPr>
          <w:rFonts w:cs="Times New Roman"/>
          <w:szCs w:val="24"/>
        </w:rPr>
        <w:t>4.4.5</w:t>
      </w:r>
      <w:r>
        <w:rPr>
          <w:rFonts w:cs="Times New Roman" w:hint="eastAsia"/>
          <w:szCs w:val="24"/>
        </w:rPr>
        <w:t>）、物体表面（</w:t>
      </w:r>
      <w:r>
        <w:rPr>
          <w:rFonts w:cs="Times New Roman" w:hint="eastAsia"/>
          <w:szCs w:val="24"/>
        </w:rPr>
        <w:t>4</w:t>
      </w:r>
      <w:r>
        <w:rPr>
          <w:rFonts w:cs="Times New Roman"/>
          <w:szCs w:val="24"/>
        </w:rPr>
        <w:t>.7.1</w:t>
      </w:r>
      <w:r>
        <w:rPr>
          <w:rFonts w:cs="Times New Roman" w:hint="eastAsia"/>
          <w:szCs w:val="24"/>
        </w:rPr>
        <w:t>、</w:t>
      </w:r>
      <w:r>
        <w:rPr>
          <w:rFonts w:cs="Times New Roman"/>
          <w:szCs w:val="24"/>
        </w:rPr>
        <w:t>4.7.2</w:t>
      </w:r>
      <w:r>
        <w:rPr>
          <w:rFonts w:cs="Times New Roman" w:hint="eastAsia"/>
          <w:szCs w:val="24"/>
        </w:rPr>
        <w:t>）、设置卫生专间（区）（</w:t>
      </w:r>
      <w:r>
        <w:rPr>
          <w:rFonts w:cs="Times New Roman"/>
          <w:szCs w:val="24"/>
        </w:rPr>
        <w:t>4.8.1</w:t>
      </w:r>
      <w:r>
        <w:rPr>
          <w:rFonts w:cs="Times New Roman" w:hint="eastAsia"/>
          <w:szCs w:val="24"/>
        </w:rPr>
        <w:t>）、客用自助洗衣房（</w:t>
      </w:r>
      <w:r>
        <w:rPr>
          <w:rFonts w:cs="Times New Roman"/>
          <w:szCs w:val="24"/>
        </w:rPr>
        <w:t>4.8.4 c</w:t>
      </w:r>
      <w:r>
        <w:rPr>
          <w:rFonts w:cs="Times New Roman" w:hint="eastAsia"/>
          <w:szCs w:val="24"/>
        </w:rPr>
        <w:t>）、消毒剂专用库房要求（</w:t>
      </w:r>
      <w:r>
        <w:rPr>
          <w:rFonts w:cs="Times New Roman"/>
          <w:szCs w:val="24"/>
        </w:rPr>
        <w:t>4.8.7</w:t>
      </w:r>
      <w:r>
        <w:rPr>
          <w:rFonts w:cs="Times New Roman" w:hint="eastAsia"/>
          <w:szCs w:val="24"/>
        </w:rPr>
        <w:t>）（见第</w:t>
      </w:r>
      <w:r>
        <w:rPr>
          <w:rFonts w:cs="Times New Roman" w:hint="eastAsia"/>
          <w:szCs w:val="24"/>
        </w:rPr>
        <w:t>4</w:t>
      </w:r>
      <w:r>
        <w:rPr>
          <w:rFonts w:cs="Times New Roman" w:hint="eastAsia"/>
          <w:szCs w:val="24"/>
        </w:rPr>
        <w:t>章）；</w:t>
      </w:r>
    </w:p>
    <w:p w14:paraId="2EA6BD17"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增加了公共场所经营者卫生管理责任（见第</w:t>
      </w:r>
      <w:r>
        <w:rPr>
          <w:rFonts w:cs="Times New Roman"/>
          <w:szCs w:val="24"/>
        </w:rPr>
        <w:t>5</w:t>
      </w:r>
      <w:r>
        <w:rPr>
          <w:rFonts w:cs="Times New Roman" w:hint="eastAsia"/>
          <w:szCs w:val="24"/>
        </w:rPr>
        <w:t>章）；</w:t>
      </w:r>
    </w:p>
    <w:p w14:paraId="4DB0FAAA"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增加了对于小型</w:t>
      </w:r>
      <w:r>
        <w:rPr>
          <w:rFonts w:hint="eastAsia"/>
        </w:rPr>
        <w:t>理发店（座椅≤</w:t>
      </w:r>
      <w:r>
        <w:rPr>
          <w:rFonts w:hint="eastAsia"/>
        </w:rPr>
        <w:t>5</w:t>
      </w:r>
      <w:r>
        <w:rPr>
          <w:rFonts w:hint="eastAsia"/>
        </w:rPr>
        <w:t>个）、公共交通工具以及</w:t>
      </w:r>
      <w:r>
        <w:rPr>
          <w:rFonts w:cs="Times New Roman" w:hint="eastAsia"/>
          <w:szCs w:val="24"/>
        </w:rPr>
        <w:t>人工游泳场所卫生检测的要求（</w:t>
      </w:r>
      <w:r>
        <w:rPr>
          <w:rFonts w:cs="Times New Roman"/>
          <w:szCs w:val="24"/>
        </w:rPr>
        <w:t>5.6</w:t>
      </w:r>
      <w:r>
        <w:rPr>
          <w:rFonts w:cs="Times New Roman" w:hint="eastAsia"/>
          <w:szCs w:val="24"/>
        </w:rPr>
        <w:t>）、其他要求（</w:t>
      </w:r>
      <w:r>
        <w:rPr>
          <w:rFonts w:cs="Times New Roman" w:hint="eastAsia"/>
          <w:szCs w:val="24"/>
        </w:rPr>
        <w:t>5</w:t>
      </w:r>
      <w:r>
        <w:rPr>
          <w:rFonts w:cs="Times New Roman"/>
          <w:szCs w:val="24"/>
        </w:rPr>
        <w:t>.7</w:t>
      </w:r>
      <w:r>
        <w:rPr>
          <w:rFonts w:cs="Times New Roman" w:hint="eastAsia"/>
          <w:szCs w:val="24"/>
        </w:rPr>
        <w:t>）（见第</w:t>
      </w:r>
      <w:r>
        <w:rPr>
          <w:rFonts w:cs="Times New Roman"/>
          <w:szCs w:val="24"/>
        </w:rPr>
        <w:t>5</w:t>
      </w:r>
      <w:r>
        <w:rPr>
          <w:rFonts w:cs="Times New Roman" w:hint="eastAsia"/>
          <w:szCs w:val="24"/>
        </w:rPr>
        <w:t>章）；</w:t>
      </w:r>
    </w:p>
    <w:p w14:paraId="198D2766"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增加了疫情暴发地区公共场所卫生防控要求（见第</w:t>
      </w:r>
      <w:r>
        <w:rPr>
          <w:rFonts w:cs="Times New Roman"/>
          <w:szCs w:val="24"/>
        </w:rPr>
        <w:t>7</w:t>
      </w:r>
      <w:r>
        <w:rPr>
          <w:rFonts w:cs="Times New Roman" w:hint="eastAsia"/>
          <w:szCs w:val="24"/>
        </w:rPr>
        <w:t>章）；</w:t>
      </w:r>
    </w:p>
    <w:p w14:paraId="572D2D26"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增加了附录</w:t>
      </w:r>
      <w:r>
        <w:rPr>
          <w:rFonts w:cs="Times New Roman" w:hint="eastAsia"/>
          <w:szCs w:val="24"/>
        </w:rPr>
        <w:t>B</w:t>
      </w:r>
      <w:r>
        <w:rPr>
          <w:rFonts w:cs="Times New Roman" w:hint="eastAsia"/>
          <w:szCs w:val="24"/>
        </w:rPr>
        <w:t>中手卫生基本要求（见附录</w:t>
      </w:r>
      <w:r>
        <w:rPr>
          <w:rFonts w:cs="Times New Roman" w:hint="eastAsia"/>
          <w:szCs w:val="24"/>
        </w:rPr>
        <w:t>B</w:t>
      </w:r>
      <w:r>
        <w:rPr>
          <w:rFonts w:cs="Times New Roman" w:hint="eastAsia"/>
          <w:szCs w:val="24"/>
        </w:rPr>
        <w:t>）；</w:t>
      </w:r>
    </w:p>
    <w:p w14:paraId="7B29F460"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修改了基本卫生要求架构，将相似要求进行合并凝练（见第</w:t>
      </w:r>
      <w:r>
        <w:rPr>
          <w:rFonts w:cs="Times New Roman" w:hint="eastAsia"/>
          <w:szCs w:val="24"/>
        </w:rPr>
        <w:t>4</w:t>
      </w:r>
      <w:r>
        <w:rPr>
          <w:rFonts w:cs="Times New Roman" w:hint="eastAsia"/>
          <w:szCs w:val="24"/>
        </w:rPr>
        <w:t>章，</w:t>
      </w:r>
      <w:r>
        <w:rPr>
          <w:rFonts w:cs="Times New Roman" w:hint="eastAsia"/>
          <w:szCs w:val="24"/>
        </w:rPr>
        <w:t>2019</w:t>
      </w:r>
      <w:r>
        <w:rPr>
          <w:rFonts w:cs="Times New Roman" w:hint="eastAsia"/>
          <w:szCs w:val="24"/>
        </w:rPr>
        <w:t>年版的第</w:t>
      </w:r>
      <w:r>
        <w:rPr>
          <w:rFonts w:cs="Times New Roman" w:hint="eastAsia"/>
          <w:szCs w:val="24"/>
        </w:rPr>
        <w:t>4</w:t>
      </w:r>
      <w:r>
        <w:rPr>
          <w:rFonts w:cs="Times New Roman" w:hint="eastAsia"/>
          <w:szCs w:val="24"/>
        </w:rPr>
        <w:t>章）；</w:t>
      </w:r>
    </w:p>
    <w:p w14:paraId="13910475"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修改了</w:t>
      </w:r>
      <w:r>
        <w:rPr>
          <w:rFonts w:cs="Times New Roman" w:hint="eastAsia"/>
          <w:szCs w:val="24"/>
        </w:rPr>
        <w:t>1</w:t>
      </w:r>
      <w:r>
        <w:rPr>
          <w:rFonts w:cs="Times New Roman" w:hint="eastAsia"/>
          <w:szCs w:val="24"/>
        </w:rPr>
        <w:t>项规范性引用文件（见第</w:t>
      </w:r>
      <w:r>
        <w:rPr>
          <w:rFonts w:cs="Times New Roman" w:hint="eastAsia"/>
          <w:szCs w:val="24"/>
        </w:rPr>
        <w:t>2</w:t>
      </w:r>
      <w:r>
        <w:rPr>
          <w:rFonts w:cs="Times New Roman" w:hint="eastAsia"/>
          <w:szCs w:val="24"/>
        </w:rPr>
        <w:t>章</w:t>
      </w:r>
      <w:r>
        <w:rPr>
          <w:rFonts w:hint="eastAsia"/>
        </w:rPr>
        <w:t>，</w:t>
      </w:r>
      <w:r>
        <w:rPr>
          <w:rFonts w:hint="eastAsia"/>
        </w:rPr>
        <w:t>2019</w:t>
      </w:r>
      <w:r>
        <w:rPr>
          <w:rFonts w:hint="eastAsia"/>
        </w:rPr>
        <w:t>年版的第</w:t>
      </w:r>
      <w:r>
        <w:rPr>
          <w:rFonts w:hint="eastAsia"/>
        </w:rPr>
        <w:t>2</w:t>
      </w:r>
      <w:r>
        <w:rPr>
          <w:rFonts w:hint="eastAsia"/>
        </w:rPr>
        <w:t>章</w:t>
      </w:r>
      <w:r>
        <w:rPr>
          <w:rFonts w:cs="Times New Roman" w:hint="eastAsia"/>
          <w:szCs w:val="24"/>
        </w:rPr>
        <w:t>）</w:t>
      </w:r>
    </w:p>
    <w:p w14:paraId="3D64C077"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cs="Times New Roman" w:hint="eastAsia"/>
          <w:szCs w:val="24"/>
        </w:rPr>
        <w:t>修改</w:t>
      </w:r>
      <w:r>
        <w:rPr>
          <w:rFonts w:cs="Times New Roman" w:hint="eastAsia"/>
          <w:szCs w:val="24"/>
        </w:rPr>
        <w:t>1</w:t>
      </w:r>
      <w:r>
        <w:rPr>
          <w:rFonts w:cs="Times New Roman" w:hint="eastAsia"/>
          <w:szCs w:val="24"/>
        </w:rPr>
        <w:t>项术语和定义（见</w:t>
      </w:r>
      <w:r>
        <w:rPr>
          <w:rFonts w:cs="Times New Roman" w:hint="eastAsia"/>
          <w:szCs w:val="24"/>
        </w:rPr>
        <w:t>3.1</w:t>
      </w:r>
      <w:r>
        <w:rPr>
          <w:rFonts w:cs="Times New Roman" w:hint="eastAsia"/>
          <w:szCs w:val="24"/>
        </w:rPr>
        <w:t>，</w:t>
      </w:r>
      <w:r>
        <w:rPr>
          <w:rFonts w:cs="Times New Roman" w:hint="eastAsia"/>
          <w:szCs w:val="24"/>
        </w:rPr>
        <w:t>2019</w:t>
      </w:r>
      <w:r>
        <w:rPr>
          <w:rFonts w:cs="Times New Roman" w:hint="eastAsia"/>
          <w:szCs w:val="24"/>
        </w:rPr>
        <w:t>年版的</w:t>
      </w:r>
      <w:r>
        <w:rPr>
          <w:rFonts w:cs="Times New Roman" w:hint="eastAsia"/>
          <w:szCs w:val="24"/>
        </w:rPr>
        <w:t>3.1</w:t>
      </w:r>
      <w:r>
        <w:rPr>
          <w:rFonts w:cs="Times New Roman" w:hint="eastAsia"/>
          <w:szCs w:val="24"/>
        </w:rPr>
        <w:t>）；</w:t>
      </w:r>
    </w:p>
    <w:p w14:paraId="5D386567" w14:textId="77777777" w:rsidR="00D4394E" w:rsidRDefault="00000000">
      <w:pPr>
        <w:numPr>
          <w:ilvl w:val="0"/>
          <w:numId w:val="5"/>
        </w:numPr>
        <w:adjustRightInd w:val="0"/>
        <w:snapToGrid w:val="0"/>
        <w:spacing w:line="240" w:lineRule="auto"/>
        <w:ind w:firstLineChars="200" w:firstLine="480"/>
      </w:pPr>
      <w:r>
        <w:rPr>
          <w:rFonts w:cs="Times New Roman" w:hint="eastAsia"/>
          <w:szCs w:val="24"/>
        </w:rPr>
        <w:t>修改了“美发”为“理发”（见</w:t>
      </w:r>
      <w:r>
        <w:rPr>
          <w:rFonts w:cs="Times New Roman" w:hint="eastAsia"/>
          <w:szCs w:val="24"/>
        </w:rPr>
        <w:t>4.3.4</w:t>
      </w:r>
      <w:r>
        <w:rPr>
          <w:rFonts w:cs="Times New Roman" w:hint="eastAsia"/>
          <w:szCs w:val="24"/>
        </w:rPr>
        <w:t>、</w:t>
      </w:r>
      <w:r>
        <w:rPr>
          <w:rFonts w:cs="Times New Roman" w:hint="eastAsia"/>
          <w:szCs w:val="24"/>
        </w:rPr>
        <w:t>6.3</w:t>
      </w:r>
      <w:r>
        <w:rPr>
          <w:rFonts w:cs="Times New Roman" w:hint="eastAsia"/>
          <w:szCs w:val="24"/>
        </w:rPr>
        <w:t>，</w:t>
      </w:r>
      <w:r>
        <w:rPr>
          <w:rFonts w:cs="Times New Roman" w:hint="eastAsia"/>
          <w:szCs w:val="24"/>
        </w:rPr>
        <w:t>2019</w:t>
      </w:r>
      <w:r>
        <w:rPr>
          <w:rFonts w:cs="Times New Roman" w:hint="eastAsia"/>
          <w:szCs w:val="24"/>
        </w:rPr>
        <w:t>年版的</w:t>
      </w:r>
      <w:r>
        <w:rPr>
          <w:rFonts w:cs="Times New Roman" w:hint="eastAsia"/>
          <w:szCs w:val="24"/>
        </w:rPr>
        <w:t>4.8.2</w:t>
      </w:r>
      <w:r>
        <w:rPr>
          <w:rFonts w:cs="Times New Roman" w:hint="eastAsia"/>
          <w:szCs w:val="24"/>
        </w:rPr>
        <w:t>、</w:t>
      </w:r>
      <w:r>
        <w:rPr>
          <w:rFonts w:cs="Times New Roman" w:hint="eastAsia"/>
          <w:szCs w:val="24"/>
        </w:rPr>
        <w:t>6.3</w:t>
      </w:r>
      <w:r>
        <w:rPr>
          <w:rFonts w:cs="Times New Roman" w:hint="eastAsia"/>
          <w:szCs w:val="24"/>
        </w:rPr>
        <w:t>）；</w:t>
      </w:r>
    </w:p>
    <w:p w14:paraId="579707E5"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hint="eastAsia"/>
        </w:rPr>
        <w:t>修改了“卫生相关产品”为“公共卫生用品”（见</w:t>
      </w:r>
      <w:r>
        <w:t>3.2</w:t>
      </w:r>
      <w:r>
        <w:rPr>
          <w:rFonts w:hint="eastAsia"/>
        </w:rPr>
        <w:t>、</w:t>
      </w:r>
      <w:r>
        <w:t>4</w:t>
      </w:r>
      <w:r>
        <w:rPr>
          <w:rFonts w:hint="eastAsia"/>
        </w:rPr>
        <w:t>.3</w:t>
      </w:r>
      <w:r>
        <w:rPr>
          <w:rFonts w:hint="eastAsia"/>
        </w:rPr>
        <w:t>、</w:t>
      </w:r>
      <w:r>
        <w:t>4.3.1</w:t>
      </w:r>
      <w:r>
        <w:rPr>
          <w:rFonts w:hint="eastAsia"/>
        </w:rPr>
        <w:t>、</w:t>
      </w:r>
      <w:r>
        <w:rPr>
          <w:rFonts w:hint="eastAsia"/>
        </w:rPr>
        <w:t>4</w:t>
      </w:r>
      <w:r>
        <w:t>.3.2</w:t>
      </w:r>
      <w:r>
        <w:rPr>
          <w:rFonts w:hint="eastAsia"/>
        </w:rPr>
        <w:t>、</w:t>
      </w:r>
      <w:r>
        <w:t>5.2.1</w:t>
      </w:r>
      <w:r>
        <w:rPr>
          <w:rFonts w:hint="eastAsia"/>
        </w:rPr>
        <w:t>、</w:t>
      </w:r>
      <w:r>
        <w:t>5.4.1</w:t>
      </w:r>
      <w:r>
        <w:rPr>
          <w:rFonts w:hint="eastAsia"/>
        </w:rPr>
        <w:t>，</w:t>
      </w:r>
      <w:r>
        <w:rPr>
          <w:rFonts w:hint="eastAsia"/>
        </w:rPr>
        <w:t>20</w:t>
      </w:r>
      <w:r>
        <w:t>19</w:t>
      </w:r>
      <w:r>
        <w:rPr>
          <w:rFonts w:hint="eastAsia"/>
        </w:rPr>
        <w:t>年版的</w:t>
      </w:r>
      <w:r>
        <w:t>4.1.1</w:t>
      </w:r>
      <w:r>
        <w:rPr>
          <w:rFonts w:hint="eastAsia"/>
        </w:rPr>
        <w:t>、</w:t>
      </w:r>
      <w:r>
        <w:rPr>
          <w:rFonts w:hint="eastAsia"/>
        </w:rPr>
        <w:t>4.8</w:t>
      </w:r>
      <w:r>
        <w:rPr>
          <w:rFonts w:hint="eastAsia"/>
        </w:rPr>
        <w:t>、</w:t>
      </w:r>
      <w:r>
        <w:t>5.2.2</w:t>
      </w:r>
      <w:r>
        <w:rPr>
          <w:rFonts w:hint="eastAsia"/>
        </w:rPr>
        <w:t>、</w:t>
      </w:r>
      <w:r>
        <w:t>5.5.1</w:t>
      </w:r>
      <w:r>
        <w:rPr>
          <w:rFonts w:hint="eastAsia"/>
        </w:rPr>
        <w:t>）；</w:t>
      </w:r>
    </w:p>
    <w:p w14:paraId="5816B01C"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hint="eastAsia"/>
        </w:rPr>
        <w:t>修改</w:t>
      </w:r>
      <w:r>
        <w:rPr>
          <w:rFonts w:cs="Times New Roman" w:hint="eastAsia"/>
          <w:szCs w:val="24"/>
        </w:rPr>
        <w:t>了“机械排风”为“机械通风”（见</w:t>
      </w:r>
      <w:r>
        <w:rPr>
          <w:rFonts w:cs="Times New Roman" w:hint="eastAsia"/>
          <w:szCs w:val="24"/>
        </w:rPr>
        <w:t>4.4.2</w:t>
      </w:r>
      <w:r>
        <w:rPr>
          <w:rFonts w:cs="Times New Roman" w:hint="eastAsia"/>
          <w:szCs w:val="24"/>
        </w:rPr>
        <w:t>、</w:t>
      </w:r>
      <w:r>
        <w:rPr>
          <w:rFonts w:cs="Times New Roman" w:hint="eastAsia"/>
          <w:szCs w:val="24"/>
        </w:rPr>
        <w:t>4.8.5</w:t>
      </w:r>
      <w:r>
        <w:rPr>
          <w:rFonts w:cs="Times New Roman" w:hint="eastAsia"/>
          <w:szCs w:val="24"/>
        </w:rPr>
        <w:t>、</w:t>
      </w:r>
      <w:r>
        <w:rPr>
          <w:rFonts w:cs="Times New Roman" w:hint="eastAsia"/>
          <w:szCs w:val="24"/>
        </w:rPr>
        <w:t>4.8.6</w:t>
      </w:r>
      <w:r>
        <w:rPr>
          <w:rFonts w:cs="Times New Roman" w:hint="eastAsia"/>
          <w:szCs w:val="24"/>
        </w:rPr>
        <w:t>，</w:t>
      </w:r>
      <w:r>
        <w:rPr>
          <w:rFonts w:cs="Times New Roman" w:hint="eastAsia"/>
          <w:szCs w:val="24"/>
        </w:rPr>
        <w:t>2019</w:t>
      </w:r>
      <w:r>
        <w:rPr>
          <w:rFonts w:cs="Times New Roman" w:hint="eastAsia"/>
          <w:szCs w:val="24"/>
        </w:rPr>
        <w:t>年版的</w:t>
      </w:r>
      <w:r>
        <w:rPr>
          <w:rFonts w:cs="Times New Roman" w:hint="eastAsia"/>
          <w:szCs w:val="24"/>
        </w:rPr>
        <w:t>4.4.3</w:t>
      </w:r>
      <w:r>
        <w:rPr>
          <w:rFonts w:cs="Times New Roman" w:hint="eastAsia"/>
          <w:szCs w:val="24"/>
        </w:rPr>
        <w:t>、</w:t>
      </w:r>
      <w:r>
        <w:rPr>
          <w:rFonts w:cs="Times New Roman" w:hint="eastAsia"/>
          <w:szCs w:val="24"/>
        </w:rPr>
        <w:t>4.9.4</w:t>
      </w:r>
      <w:r>
        <w:rPr>
          <w:rFonts w:cs="Times New Roman" w:hint="eastAsia"/>
          <w:szCs w:val="24"/>
        </w:rPr>
        <w:t>、</w:t>
      </w:r>
      <w:r>
        <w:rPr>
          <w:rFonts w:cs="Times New Roman" w:hint="eastAsia"/>
          <w:szCs w:val="24"/>
        </w:rPr>
        <w:t>4.9.5</w:t>
      </w:r>
      <w:r>
        <w:rPr>
          <w:rFonts w:cs="Times New Roman" w:hint="eastAsia"/>
          <w:szCs w:val="24"/>
        </w:rPr>
        <w:t>）；</w:t>
      </w:r>
    </w:p>
    <w:p w14:paraId="796F0CCB"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hint="eastAsia"/>
        </w:rPr>
        <w:t>修改</w:t>
      </w:r>
      <w:r>
        <w:rPr>
          <w:rFonts w:cs="Times New Roman" w:hint="eastAsia"/>
          <w:szCs w:val="24"/>
        </w:rPr>
        <w:t>了“病媒生物防治”为“病媒生物防制”（见</w:t>
      </w:r>
      <w:r>
        <w:rPr>
          <w:rFonts w:cs="Times New Roman"/>
          <w:szCs w:val="24"/>
        </w:rPr>
        <w:t>4.12</w:t>
      </w:r>
      <w:r>
        <w:rPr>
          <w:rFonts w:cs="Times New Roman" w:hint="eastAsia"/>
          <w:szCs w:val="24"/>
        </w:rPr>
        <w:t>，</w:t>
      </w:r>
      <w:r>
        <w:rPr>
          <w:rFonts w:cs="Times New Roman"/>
          <w:szCs w:val="24"/>
        </w:rPr>
        <w:t>2019</w:t>
      </w:r>
      <w:r>
        <w:rPr>
          <w:rFonts w:cs="Times New Roman" w:hint="eastAsia"/>
          <w:szCs w:val="24"/>
        </w:rPr>
        <w:t>年版的</w:t>
      </w:r>
      <w:r>
        <w:rPr>
          <w:rFonts w:cs="Times New Roman"/>
          <w:szCs w:val="24"/>
        </w:rPr>
        <w:t>4.14</w:t>
      </w:r>
      <w:r>
        <w:rPr>
          <w:rFonts w:cs="Times New Roman" w:hint="eastAsia"/>
          <w:szCs w:val="24"/>
        </w:rPr>
        <w:t>）；</w:t>
      </w:r>
    </w:p>
    <w:p w14:paraId="344AB3CB" w14:textId="77777777" w:rsidR="00D4394E" w:rsidRDefault="00000000">
      <w:pPr>
        <w:numPr>
          <w:ilvl w:val="0"/>
          <w:numId w:val="5"/>
        </w:numPr>
        <w:adjustRightInd w:val="0"/>
        <w:snapToGrid w:val="0"/>
        <w:spacing w:line="240" w:lineRule="auto"/>
        <w:ind w:firstLineChars="200" w:firstLine="480"/>
      </w:pPr>
      <w:r>
        <w:rPr>
          <w:rFonts w:cs="Times New Roman" w:hint="eastAsia"/>
          <w:szCs w:val="24"/>
        </w:rPr>
        <w:t>删除了“其他公共场所可参照使用”（</w:t>
      </w:r>
      <w:r>
        <w:rPr>
          <w:rFonts w:cs="Times New Roman"/>
          <w:szCs w:val="24"/>
        </w:rPr>
        <w:t>2019</w:t>
      </w:r>
      <w:r>
        <w:rPr>
          <w:rFonts w:cs="Times New Roman" w:hint="eastAsia"/>
          <w:szCs w:val="24"/>
        </w:rPr>
        <w:t>年版的第</w:t>
      </w:r>
      <w:r>
        <w:rPr>
          <w:rFonts w:cs="Times New Roman" w:hint="eastAsia"/>
          <w:szCs w:val="24"/>
        </w:rPr>
        <w:t>1</w:t>
      </w:r>
      <w:r>
        <w:rPr>
          <w:rFonts w:cs="Times New Roman" w:hint="eastAsia"/>
          <w:szCs w:val="24"/>
        </w:rPr>
        <w:t>章）；</w:t>
      </w:r>
    </w:p>
    <w:p w14:paraId="30E049E4" w14:textId="77777777" w:rsidR="00D4394E" w:rsidRDefault="00000000">
      <w:pPr>
        <w:numPr>
          <w:ilvl w:val="0"/>
          <w:numId w:val="5"/>
        </w:numPr>
        <w:adjustRightInd w:val="0"/>
        <w:snapToGrid w:val="0"/>
        <w:spacing w:line="240" w:lineRule="auto"/>
        <w:ind w:firstLineChars="200" w:firstLine="480"/>
      </w:pPr>
      <w:r>
        <w:rPr>
          <w:rFonts w:hint="eastAsia"/>
        </w:rPr>
        <w:t>删除了与公共场所设计有关的要求（</w:t>
      </w:r>
      <w:r>
        <w:rPr>
          <w:rFonts w:hint="eastAsia"/>
        </w:rPr>
        <w:t>2019</w:t>
      </w:r>
      <w:r>
        <w:rPr>
          <w:rFonts w:hint="eastAsia"/>
        </w:rPr>
        <w:t>年版的</w:t>
      </w:r>
      <w:r>
        <w:t>4</w:t>
      </w:r>
      <w:r>
        <w:rPr>
          <w:rFonts w:hint="eastAsia"/>
        </w:rPr>
        <w:t>.4.4</w:t>
      </w:r>
      <w:r>
        <w:rPr>
          <w:rFonts w:hint="eastAsia"/>
        </w:rPr>
        <w:t>、</w:t>
      </w:r>
      <w:r>
        <w:t>4</w:t>
      </w:r>
      <w:r>
        <w:rPr>
          <w:rFonts w:hint="eastAsia"/>
        </w:rPr>
        <w:t>.4.5</w:t>
      </w:r>
      <w:r>
        <w:rPr>
          <w:rFonts w:hint="eastAsia"/>
        </w:rPr>
        <w:t>、</w:t>
      </w:r>
      <w:r>
        <w:t>4.7.4</w:t>
      </w:r>
      <w:r>
        <w:rPr>
          <w:rFonts w:hint="eastAsia"/>
        </w:rPr>
        <w:t>、</w:t>
      </w:r>
      <w:r>
        <w:rPr>
          <w:rFonts w:hint="eastAsia"/>
        </w:rPr>
        <w:t>5.5.1&lt;9&gt;</w:t>
      </w:r>
      <w:r>
        <w:rPr>
          <w:rFonts w:hint="eastAsia"/>
        </w:rPr>
        <w:t>）；</w:t>
      </w:r>
    </w:p>
    <w:p w14:paraId="277F6CD2" w14:textId="77777777" w:rsidR="00D4394E" w:rsidRDefault="00000000">
      <w:pPr>
        <w:numPr>
          <w:ilvl w:val="0"/>
          <w:numId w:val="5"/>
        </w:numPr>
        <w:adjustRightInd w:val="0"/>
        <w:snapToGrid w:val="0"/>
        <w:spacing w:line="240" w:lineRule="auto"/>
        <w:ind w:firstLineChars="200" w:firstLine="480"/>
      </w:pPr>
      <w:r>
        <w:rPr>
          <w:rFonts w:hint="eastAsia"/>
        </w:rPr>
        <w:t>删除了可行性低的推荐性条款（</w:t>
      </w:r>
      <w:r>
        <w:rPr>
          <w:rFonts w:hint="eastAsia"/>
        </w:rPr>
        <w:t>2019</w:t>
      </w:r>
      <w:r>
        <w:rPr>
          <w:rFonts w:hint="eastAsia"/>
        </w:rPr>
        <w:t>年版的</w:t>
      </w:r>
      <w:r>
        <w:t>4</w:t>
      </w:r>
      <w:r>
        <w:rPr>
          <w:rFonts w:hint="eastAsia"/>
        </w:rPr>
        <w:t>.6.1</w:t>
      </w:r>
      <w:r>
        <w:rPr>
          <w:rFonts w:hint="eastAsia"/>
        </w:rPr>
        <w:t>、</w:t>
      </w:r>
      <w:r>
        <w:t>4</w:t>
      </w:r>
      <w:r>
        <w:rPr>
          <w:rFonts w:hint="eastAsia"/>
        </w:rPr>
        <w:t>.12.1</w:t>
      </w:r>
      <w:r>
        <w:rPr>
          <w:rFonts w:hint="eastAsia"/>
        </w:rPr>
        <w:t>）；</w:t>
      </w:r>
    </w:p>
    <w:p w14:paraId="5E7E8895" w14:textId="77777777" w:rsidR="00D4394E" w:rsidRDefault="00000000">
      <w:pPr>
        <w:numPr>
          <w:ilvl w:val="0"/>
          <w:numId w:val="5"/>
        </w:numPr>
        <w:adjustRightInd w:val="0"/>
        <w:snapToGrid w:val="0"/>
        <w:spacing w:line="240" w:lineRule="auto"/>
        <w:ind w:firstLineChars="200" w:firstLine="480"/>
      </w:pPr>
      <w:r>
        <w:rPr>
          <w:rFonts w:hint="eastAsia"/>
        </w:rPr>
        <w:t>删除了过程性描述要求（</w:t>
      </w:r>
      <w:r>
        <w:t>2</w:t>
      </w:r>
      <w:r>
        <w:rPr>
          <w:rFonts w:hint="eastAsia"/>
        </w:rPr>
        <w:t>019</w:t>
      </w:r>
      <w:r>
        <w:rPr>
          <w:rFonts w:hint="eastAsia"/>
        </w:rPr>
        <w:t>年版的</w:t>
      </w:r>
      <w:r>
        <w:t>4.15.2</w:t>
      </w:r>
      <w:r>
        <w:rPr>
          <w:rFonts w:hint="eastAsia"/>
        </w:rPr>
        <w:t>、</w:t>
      </w:r>
      <w:r>
        <w:t>4.15.3</w:t>
      </w:r>
      <w:r>
        <w:rPr>
          <w:rFonts w:hint="eastAsia"/>
        </w:rPr>
        <w:t>）；</w:t>
      </w:r>
    </w:p>
    <w:p w14:paraId="374AA33B"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hint="eastAsia"/>
        </w:rPr>
        <w:t>删除了与术语定义相同的条款（</w:t>
      </w:r>
      <w:r>
        <w:t>2</w:t>
      </w:r>
      <w:r>
        <w:rPr>
          <w:rFonts w:hint="eastAsia"/>
        </w:rPr>
        <w:t>019</w:t>
      </w:r>
      <w:r>
        <w:rPr>
          <w:rFonts w:hint="eastAsia"/>
        </w:rPr>
        <w:t>年版的</w:t>
      </w:r>
      <w:r>
        <w:t>4</w:t>
      </w:r>
      <w:r>
        <w:rPr>
          <w:rFonts w:hint="eastAsia"/>
        </w:rPr>
        <w:t>.1.1</w:t>
      </w:r>
      <w:r>
        <w:rPr>
          <w:rFonts w:hint="eastAsia"/>
        </w:rPr>
        <w:t>）；</w:t>
      </w:r>
    </w:p>
    <w:p w14:paraId="4564E5E0" w14:textId="77777777" w:rsidR="00D4394E" w:rsidRDefault="00000000">
      <w:pPr>
        <w:numPr>
          <w:ilvl w:val="0"/>
          <w:numId w:val="5"/>
        </w:numPr>
        <w:adjustRightInd w:val="0"/>
        <w:snapToGrid w:val="0"/>
        <w:spacing w:line="240" w:lineRule="auto"/>
        <w:ind w:firstLineChars="200" w:firstLine="480"/>
        <w:rPr>
          <w:rFonts w:cs="Times New Roman"/>
          <w:szCs w:val="24"/>
        </w:rPr>
      </w:pPr>
      <w:r>
        <w:rPr>
          <w:rFonts w:hint="eastAsia"/>
        </w:rPr>
        <w:t>其他修改。</w:t>
      </w:r>
    </w:p>
    <w:p w14:paraId="4AD39B3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各章节新增、修改、删除的条文数量见表</w:t>
      </w:r>
      <w:r>
        <w:rPr>
          <w:rFonts w:cs="Times New Roman" w:hint="eastAsia"/>
          <w:szCs w:val="24"/>
        </w:rPr>
        <w:t>1</w:t>
      </w:r>
      <w:r>
        <w:rPr>
          <w:rFonts w:cs="Times New Roman" w:hint="eastAsia"/>
          <w:szCs w:val="24"/>
        </w:rPr>
        <w:t>。</w:t>
      </w:r>
    </w:p>
    <w:p w14:paraId="32F75D56" w14:textId="77777777" w:rsidR="00D4394E" w:rsidRDefault="00D4394E">
      <w:pPr>
        <w:pStyle w:val="aff0"/>
        <w:ind w:firstLineChars="0" w:firstLine="0"/>
        <w:jc w:val="center"/>
        <w:rPr>
          <w:rFonts w:ascii="仿宋" w:eastAsia="仿宋" w:hAnsi="仿宋" w:cs="仿宋" w:hint="eastAsia"/>
          <w:sz w:val="24"/>
          <w:szCs w:val="24"/>
        </w:rPr>
      </w:pPr>
    </w:p>
    <w:p w14:paraId="56C46E7A" w14:textId="77777777" w:rsidR="00D4394E" w:rsidRDefault="00000000">
      <w:pPr>
        <w:pStyle w:val="aff0"/>
        <w:ind w:firstLineChars="0" w:firstLine="0"/>
        <w:jc w:val="center"/>
        <w:rPr>
          <w:rFonts w:ascii="仿宋" w:eastAsia="仿宋" w:hAnsi="仿宋" w:cs="仿宋" w:hint="eastAsia"/>
          <w:sz w:val="24"/>
          <w:szCs w:val="24"/>
        </w:rPr>
      </w:pPr>
      <w:r>
        <w:rPr>
          <w:rFonts w:ascii="仿宋" w:eastAsia="仿宋" w:hAnsi="仿宋" w:cs="仿宋" w:hint="eastAsia"/>
          <w:sz w:val="24"/>
          <w:szCs w:val="24"/>
        </w:rPr>
        <w:t>表</w:t>
      </w:r>
      <w:r>
        <w:rPr>
          <w:rFonts w:ascii="仿宋" w:eastAsia="仿宋" w:hAnsi="仿宋" w:cs="仿宋"/>
          <w:sz w:val="24"/>
          <w:szCs w:val="24"/>
        </w:rPr>
        <w:t xml:space="preserve">1  </w:t>
      </w:r>
      <w:r>
        <w:rPr>
          <w:rFonts w:ascii="仿宋" w:eastAsia="仿宋" w:hAnsi="仿宋" w:cs="仿宋" w:hint="eastAsia"/>
          <w:sz w:val="24"/>
          <w:szCs w:val="24"/>
        </w:rPr>
        <w:t>各章节新增、修改、删除的条文数量汇总</w:t>
      </w:r>
    </w:p>
    <w:tbl>
      <w:tblPr>
        <w:tblStyle w:val="af7"/>
        <w:tblW w:w="0" w:type="auto"/>
        <w:tblCellMar>
          <w:left w:w="28" w:type="dxa"/>
          <w:right w:w="28" w:type="dxa"/>
        </w:tblCellMar>
        <w:tblLook w:val="04A0" w:firstRow="1" w:lastRow="0" w:firstColumn="1" w:lastColumn="0" w:noHBand="0" w:noVBand="1"/>
      </w:tblPr>
      <w:tblGrid>
        <w:gridCol w:w="2689"/>
        <w:gridCol w:w="1275"/>
        <w:gridCol w:w="709"/>
        <w:gridCol w:w="1134"/>
        <w:gridCol w:w="567"/>
        <w:gridCol w:w="1922"/>
      </w:tblGrid>
      <w:tr w:rsidR="00D4394E" w14:paraId="2A5F1D77" w14:textId="77777777">
        <w:trPr>
          <w:trHeight w:val="227"/>
        </w:trPr>
        <w:tc>
          <w:tcPr>
            <w:tcW w:w="2689" w:type="dxa"/>
          </w:tcPr>
          <w:p w14:paraId="48CF2E0A"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章节</w:t>
            </w:r>
          </w:p>
        </w:tc>
        <w:tc>
          <w:tcPr>
            <w:tcW w:w="1275" w:type="dxa"/>
          </w:tcPr>
          <w:p w14:paraId="4F2608CD"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原条文数量</w:t>
            </w:r>
          </w:p>
        </w:tc>
        <w:tc>
          <w:tcPr>
            <w:tcW w:w="709" w:type="dxa"/>
          </w:tcPr>
          <w:p w14:paraId="012C922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新增</w:t>
            </w:r>
          </w:p>
        </w:tc>
        <w:tc>
          <w:tcPr>
            <w:tcW w:w="1134" w:type="dxa"/>
          </w:tcPr>
          <w:p w14:paraId="25EF379C"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修改合并</w:t>
            </w:r>
          </w:p>
        </w:tc>
        <w:tc>
          <w:tcPr>
            <w:tcW w:w="567" w:type="dxa"/>
          </w:tcPr>
          <w:p w14:paraId="65352EE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删除</w:t>
            </w:r>
          </w:p>
        </w:tc>
        <w:tc>
          <w:tcPr>
            <w:tcW w:w="1922" w:type="dxa"/>
          </w:tcPr>
          <w:p w14:paraId="4455CB2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修订后条文数量</w:t>
            </w:r>
          </w:p>
        </w:tc>
      </w:tr>
      <w:tr w:rsidR="00D4394E" w14:paraId="2D5DE750" w14:textId="77777777">
        <w:trPr>
          <w:trHeight w:val="227"/>
        </w:trPr>
        <w:tc>
          <w:tcPr>
            <w:tcW w:w="2689" w:type="dxa"/>
          </w:tcPr>
          <w:p w14:paraId="1DFA1B99"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前言</w:t>
            </w:r>
          </w:p>
        </w:tc>
        <w:tc>
          <w:tcPr>
            <w:tcW w:w="1275" w:type="dxa"/>
          </w:tcPr>
          <w:p w14:paraId="1F018D5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709" w:type="dxa"/>
          </w:tcPr>
          <w:p w14:paraId="1998AE8F"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134" w:type="dxa"/>
          </w:tcPr>
          <w:p w14:paraId="116D56E7"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567" w:type="dxa"/>
          </w:tcPr>
          <w:p w14:paraId="2AABA32D"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159FC539"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r>
      <w:tr w:rsidR="00D4394E" w14:paraId="0DC92E81" w14:textId="77777777">
        <w:trPr>
          <w:trHeight w:val="227"/>
        </w:trPr>
        <w:tc>
          <w:tcPr>
            <w:tcW w:w="2689" w:type="dxa"/>
          </w:tcPr>
          <w:p w14:paraId="067FA61B"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引言</w:t>
            </w:r>
          </w:p>
        </w:tc>
        <w:tc>
          <w:tcPr>
            <w:tcW w:w="1275" w:type="dxa"/>
          </w:tcPr>
          <w:p w14:paraId="6A141C9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709" w:type="dxa"/>
          </w:tcPr>
          <w:p w14:paraId="2098E0D0"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1134" w:type="dxa"/>
          </w:tcPr>
          <w:p w14:paraId="23F541E3"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567" w:type="dxa"/>
          </w:tcPr>
          <w:p w14:paraId="12ED6F6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39D72592"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r>
      <w:tr w:rsidR="00D4394E" w14:paraId="292CADF4" w14:textId="77777777">
        <w:trPr>
          <w:trHeight w:val="227"/>
        </w:trPr>
        <w:tc>
          <w:tcPr>
            <w:tcW w:w="2689" w:type="dxa"/>
          </w:tcPr>
          <w:p w14:paraId="7A09C3E1"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范围</w:t>
            </w:r>
          </w:p>
        </w:tc>
        <w:tc>
          <w:tcPr>
            <w:tcW w:w="1275" w:type="dxa"/>
          </w:tcPr>
          <w:p w14:paraId="63AC97B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709" w:type="dxa"/>
          </w:tcPr>
          <w:p w14:paraId="6F44D617"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134" w:type="dxa"/>
          </w:tcPr>
          <w:p w14:paraId="3ED61A4E"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567" w:type="dxa"/>
          </w:tcPr>
          <w:p w14:paraId="36BBF62E"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63E0265D"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r>
      <w:tr w:rsidR="00D4394E" w14:paraId="4DA2489D" w14:textId="77777777">
        <w:trPr>
          <w:trHeight w:val="227"/>
        </w:trPr>
        <w:tc>
          <w:tcPr>
            <w:tcW w:w="2689" w:type="dxa"/>
          </w:tcPr>
          <w:p w14:paraId="321A4042"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规范性引用文件</w:t>
            </w:r>
          </w:p>
        </w:tc>
        <w:tc>
          <w:tcPr>
            <w:tcW w:w="1275" w:type="dxa"/>
          </w:tcPr>
          <w:p w14:paraId="341FFCE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5</w:t>
            </w:r>
          </w:p>
        </w:tc>
        <w:tc>
          <w:tcPr>
            <w:tcW w:w="709" w:type="dxa"/>
          </w:tcPr>
          <w:p w14:paraId="4A368E26"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4</w:t>
            </w:r>
          </w:p>
        </w:tc>
        <w:tc>
          <w:tcPr>
            <w:tcW w:w="1134" w:type="dxa"/>
          </w:tcPr>
          <w:p w14:paraId="29F82C49"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567" w:type="dxa"/>
          </w:tcPr>
          <w:p w14:paraId="30C7B640"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78A784E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9</w:t>
            </w:r>
          </w:p>
        </w:tc>
      </w:tr>
      <w:tr w:rsidR="00D4394E" w14:paraId="3CF595D8" w14:textId="77777777">
        <w:trPr>
          <w:trHeight w:val="227"/>
        </w:trPr>
        <w:tc>
          <w:tcPr>
            <w:tcW w:w="2689" w:type="dxa"/>
          </w:tcPr>
          <w:p w14:paraId="65C89FF3"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术语和定义</w:t>
            </w:r>
          </w:p>
        </w:tc>
        <w:tc>
          <w:tcPr>
            <w:tcW w:w="1275" w:type="dxa"/>
          </w:tcPr>
          <w:p w14:paraId="5CAD2337"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2</w:t>
            </w:r>
          </w:p>
        </w:tc>
        <w:tc>
          <w:tcPr>
            <w:tcW w:w="709" w:type="dxa"/>
          </w:tcPr>
          <w:p w14:paraId="792CCB12"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2</w:t>
            </w:r>
          </w:p>
        </w:tc>
        <w:tc>
          <w:tcPr>
            <w:tcW w:w="1134" w:type="dxa"/>
          </w:tcPr>
          <w:p w14:paraId="4677666D"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567" w:type="dxa"/>
          </w:tcPr>
          <w:p w14:paraId="6DA14B39"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5FCFAB90"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4</w:t>
            </w:r>
          </w:p>
        </w:tc>
      </w:tr>
      <w:tr w:rsidR="00D4394E" w14:paraId="763E25AF" w14:textId="77777777">
        <w:trPr>
          <w:trHeight w:val="227"/>
        </w:trPr>
        <w:tc>
          <w:tcPr>
            <w:tcW w:w="2689" w:type="dxa"/>
          </w:tcPr>
          <w:p w14:paraId="348253D7"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基本卫生要求</w:t>
            </w:r>
          </w:p>
        </w:tc>
        <w:tc>
          <w:tcPr>
            <w:tcW w:w="1275" w:type="dxa"/>
          </w:tcPr>
          <w:p w14:paraId="06D726D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71</w:t>
            </w:r>
          </w:p>
        </w:tc>
        <w:tc>
          <w:tcPr>
            <w:tcW w:w="709" w:type="dxa"/>
          </w:tcPr>
          <w:p w14:paraId="06F8CCE3"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6</w:t>
            </w:r>
          </w:p>
        </w:tc>
        <w:tc>
          <w:tcPr>
            <w:tcW w:w="1134" w:type="dxa"/>
          </w:tcPr>
          <w:p w14:paraId="11D8D358"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63</w:t>
            </w:r>
          </w:p>
        </w:tc>
        <w:tc>
          <w:tcPr>
            <w:tcW w:w="567" w:type="dxa"/>
          </w:tcPr>
          <w:p w14:paraId="46309742"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8</w:t>
            </w:r>
          </w:p>
        </w:tc>
        <w:tc>
          <w:tcPr>
            <w:tcW w:w="1922" w:type="dxa"/>
          </w:tcPr>
          <w:p w14:paraId="512792F8"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59</w:t>
            </w:r>
          </w:p>
        </w:tc>
      </w:tr>
      <w:tr w:rsidR="00D4394E" w14:paraId="2CA3768B" w14:textId="77777777">
        <w:trPr>
          <w:trHeight w:val="227"/>
        </w:trPr>
        <w:tc>
          <w:tcPr>
            <w:tcW w:w="2689" w:type="dxa"/>
          </w:tcPr>
          <w:p w14:paraId="49389280"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卫生管理</w:t>
            </w:r>
          </w:p>
        </w:tc>
        <w:tc>
          <w:tcPr>
            <w:tcW w:w="1275" w:type="dxa"/>
          </w:tcPr>
          <w:p w14:paraId="1A590FF2"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19</w:t>
            </w:r>
          </w:p>
        </w:tc>
        <w:tc>
          <w:tcPr>
            <w:tcW w:w="709" w:type="dxa"/>
          </w:tcPr>
          <w:p w14:paraId="65C5696A"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7</w:t>
            </w:r>
          </w:p>
        </w:tc>
        <w:tc>
          <w:tcPr>
            <w:tcW w:w="1134" w:type="dxa"/>
          </w:tcPr>
          <w:p w14:paraId="6169F1AE"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w:t>
            </w:r>
          </w:p>
        </w:tc>
        <w:tc>
          <w:tcPr>
            <w:tcW w:w="567" w:type="dxa"/>
          </w:tcPr>
          <w:p w14:paraId="386988D0"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43B25CE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18</w:t>
            </w:r>
          </w:p>
        </w:tc>
      </w:tr>
      <w:tr w:rsidR="00D4394E" w14:paraId="1F89FEAE" w14:textId="77777777">
        <w:trPr>
          <w:trHeight w:val="227"/>
        </w:trPr>
        <w:tc>
          <w:tcPr>
            <w:tcW w:w="2689" w:type="dxa"/>
          </w:tcPr>
          <w:p w14:paraId="16077DCD"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lastRenderedPageBreak/>
              <w:t>从业人员卫生</w:t>
            </w:r>
          </w:p>
        </w:tc>
        <w:tc>
          <w:tcPr>
            <w:tcW w:w="1275" w:type="dxa"/>
          </w:tcPr>
          <w:p w14:paraId="3871EA0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8</w:t>
            </w:r>
          </w:p>
        </w:tc>
        <w:tc>
          <w:tcPr>
            <w:tcW w:w="709" w:type="dxa"/>
          </w:tcPr>
          <w:p w14:paraId="052AFB9D"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134" w:type="dxa"/>
          </w:tcPr>
          <w:p w14:paraId="5D0361F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5</w:t>
            </w:r>
          </w:p>
        </w:tc>
        <w:tc>
          <w:tcPr>
            <w:tcW w:w="567" w:type="dxa"/>
          </w:tcPr>
          <w:p w14:paraId="65D14552"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285D54C6"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7</w:t>
            </w:r>
          </w:p>
        </w:tc>
      </w:tr>
      <w:tr w:rsidR="00D4394E" w14:paraId="13B6CCF3" w14:textId="77777777">
        <w:trPr>
          <w:trHeight w:val="227"/>
        </w:trPr>
        <w:tc>
          <w:tcPr>
            <w:tcW w:w="2689" w:type="dxa"/>
          </w:tcPr>
          <w:p w14:paraId="0BFC2F62"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疫情暴发地区公共场所卫生防控要求</w:t>
            </w:r>
          </w:p>
        </w:tc>
        <w:tc>
          <w:tcPr>
            <w:tcW w:w="1275" w:type="dxa"/>
          </w:tcPr>
          <w:p w14:paraId="64B271B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709" w:type="dxa"/>
          </w:tcPr>
          <w:p w14:paraId="2CC1F67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6</w:t>
            </w:r>
          </w:p>
        </w:tc>
        <w:tc>
          <w:tcPr>
            <w:tcW w:w="1134" w:type="dxa"/>
          </w:tcPr>
          <w:p w14:paraId="281808EC"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567" w:type="dxa"/>
          </w:tcPr>
          <w:p w14:paraId="3D1AFE3B"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4F97F5A0"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6</w:t>
            </w:r>
          </w:p>
        </w:tc>
      </w:tr>
      <w:tr w:rsidR="00D4394E" w14:paraId="11E6E81A" w14:textId="77777777">
        <w:trPr>
          <w:trHeight w:val="227"/>
        </w:trPr>
        <w:tc>
          <w:tcPr>
            <w:tcW w:w="2689" w:type="dxa"/>
          </w:tcPr>
          <w:p w14:paraId="66E1473D"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附录</w:t>
            </w:r>
            <w:r>
              <w:rPr>
                <w:rFonts w:ascii="Times New Roman" w:eastAsia="仿宋"/>
                <w:sz w:val="24"/>
                <w:szCs w:val="24"/>
              </w:rPr>
              <w:t>A</w:t>
            </w:r>
          </w:p>
        </w:tc>
        <w:tc>
          <w:tcPr>
            <w:tcW w:w="1275" w:type="dxa"/>
          </w:tcPr>
          <w:p w14:paraId="6B76DB8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10</w:t>
            </w:r>
          </w:p>
        </w:tc>
        <w:tc>
          <w:tcPr>
            <w:tcW w:w="709" w:type="dxa"/>
          </w:tcPr>
          <w:p w14:paraId="49CFD6BA"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134" w:type="dxa"/>
          </w:tcPr>
          <w:p w14:paraId="456D88F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8</w:t>
            </w:r>
          </w:p>
        </w:tc>
        <w:tc>
          <w:tcPr>
            <w:tcW w:w="567" w:type="dxa"/>
          </w:tcPr>
          <w:p w14:paraId="162B6A8F"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1AA39DBC"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10</w:t>
            </w:r>
          </w:p>
        </w:tc>
      </w:tr>
      <w:tr w:rsidR="00D4394E" w14:paraId="092C2B4A" w14:textId="77777777">
        <w:trPr>
          <w:trHeight w:val="227"/>
        </w:trPr>
        <w:tc>
          <w:tcPr>
            <w:tcW w:w="2689" w:type="dxa"/>
          </w:tcPr>
          <w:p w14:paraId="6262E6C4"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附录</w:t>
            </w:r>
            <w:r>
              <w:rPr>
                <w:rFonts w:ascii="Times New Roman" w:eastAsia="仿宋"/>
                <w:sz w:val="24"/>
                <w:szCs w:val="24"/>
              </w:rPr>
              <w:t>B</w:t>
            </w:r>
          </w:p>
        </w:tc>
        <w:tc>
          <w:tcPr>
            <w:tcW w:w="1275" w:type="dxa"/>
          </w:tcPr>
          <w:p w14:paraId="073BC553"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12</w:t>
            </w:r>
          </w:p>
        </w:tc>
        <w:tc>
          <w:tcPr>
            <w:tcW w:w="709" w:type="dxa"/>
          </w:tcPr>
          <w:p w14:paraId="1B0DA5A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2</w:t>
            </w:r>
          </w:p>
        </w:tc>
        <w:tc>
          <w:tcPr>
            <w:tcW w:w="1134" w:type="dxa"/>
          </w:tcPr>
          <w:p w14:paraId="75987006"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6</w:t>
            </w:r>
          </w:p>
        </w:tc>
        <w:tc>
          <w:tcPr>
            <w:tcW w:w="567" w:type="dxa"/>
          </w:tcPr>
          <w:p w14:paraId="740E8226"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0</w:t>
            </w:r>
          </w:p>
        </w:tc>
        <w:tc>
          <w:tcPr>
            <w:tcW w:w="1922" w:type="dxa"/>
          </w:tcPr>
          <w:p w14:paraId="6BA3E244"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14</w:t>
            </w:r>
          </w:p>
        </w:tc>
      </w:tr>
      <w:tr w:rsidR="00D4394E" w14:paraId="20ED9D0B" w14:textId="77777777">
        <w:trPr>
          <w:trHeight w:val="227"/>
        </w:trPr>
        <w:tc>
          <w:tcPr>
            <w:tcW w:w="2689" w:type="dxa"/>
          </w:tcPr>
          <w:p w14:paraId="7E856E9A" w14:textId="77777777" w:rsidR="00D4394E" w:rsidRDefault="00000000">
            <w:pPr>
              <w:pStyle w:val="aff0"/>
              <w:ind w:firstLineChars="0" w:firstLine="0"/>
              <w:rPr>
                <w:rFonts w:ascii="Times New Roman" w:eastAsia="仿宋"/>
                <w:sz w:val="24"/>
                <w:szCs w:val="24"/>
              </w:rPr>
            </w:pPr>
            <w:r>
              <w:rPr>
                <w:rFonts w:ascii="Times New Roman" w:eastAsia="仿宋"/>
                <w:sz w:val="24"/>
                <w:szCs w:val="24"/>
              </w:rPr>
              <w:t>合计</w:t>
            </w:r>
          </w:p>
        </w:tc>
        <w:tc>
          <w:tcPr>
            <w:tcW w:w="1275" w:type="dxa"/>
          </w:tcPr>
          <w:p w14:paraId="5FF0F70A"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129</w:t>
            </w:r>
          </w:p>
        </w:tc>
        <w:tc>
          <w:tcPr>
            <w:tcW w:w="709" w:type="dxa"/>
          </w:tcPr>
          <w:p w14:paraId="3A422675"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28</w:t>
            </w:r>
          </w:p>
        </w:tc>
        <w:tc>
          <w:tcPr>
            <w:tcW w:w="1134" w:type="dxa"/>
          </w:tcPr>
          <w:p w14:paraId="16CA1898"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87</w:t>
            </w:r>
          </w:p>
        </w:tc>
        <w:tc>
          <w:tcPr>
            <w:tcW w:w="567" w:type="dxa"/>
          </w:tcPr>
          <w:p w14:paraId="621E3AA3"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8</w:t>
            </w:r>
          </w:p>
        </w:tc>
        <w:tc>
          <w:tcPr>
            <w:tcW w:w="1922" w:type="dxa"/>
          </w:tcPr>
          <w:p w14:paraId="3CBC5AA1" w14:textId="77777777" w:rsidR="00D4394E" w:rsidRDefault="00000000">
            <w:pPr>
              <w:pStyle w:val="aff0"/>
              <w:ind w:firstLineChars="0" w:firstLine="0"/>
              <w:jc w:val="center"/>
              <w:rPr>
                <w:rFonts w:ascii="Times New Roman" w:eastAsia="仿宋"/>
                <w:sz w:val="24"/>
                <w:szCs w:val="24"/>
              </w:rPr>
            </w:pPr>
            <w:r>
              <w:rPr>
                <w:rFonts w:ascii="Times New Roman" w:eastAsia="仿宋"/>
                <w:sz w:val="24"/>
                <w:szCs w:val="24"/>
              </w:rPr>
              <w:t>130</w:t>
            </w:r>
          </w:p>
        </w:tc>
      </w:tr>
    </w:tbl>
    <w:p w14:paraId="56AE7E92" w14:textId="77777777" w:rsidR="00D4394E" w:rsidRDefault="00000000">
      <w:pPr>
        <w:pStyle w:val="3"/>
        <w:adjustRightInd w:val="0"/>
        <w:snapToGrid w:val="0"/>
        <w:spacing w:before="156" w:after="156"/>
        <w:ind w:firstLine="482"/>
      </w:pPr>
      <w:bookmarkStart w:id="138" w:name="_Toc23641"/>
      <w:bookmarkStart w:id="139" w:name="_Toc17211"/>
      <w:bookmarkStart w:id="140" w:name="_Toc8754"/>
      <w:bookmarkStart w:id="141" w:name="_Toc27852"/>
      <w:bookmarkStart w:id="142" w:name="_Toc15364"/>
      <w:bookmarkStart w:id="143" w:name="_Toc8424"/>
      <w:bookmarkStart w:id="144" w:name="_Toc7251"/>
      <w:bookmarkStart w:id="145" w:name="_Toc21146"/>
      <w:bookmarkStart w:id="146" w:name="_Toc28777"/>
      <w:bookmarkStart w:id="147" w:name="_Toc17156"/>
      <w:bookmarkStart w:id="148" w:name="_Toc13962"/>
      <w:bookmarkStart w:id="149" w:name="_Toc5358"/>
      <w:bookmarkStart w:id="150" w:name="_Toc2407"/>
      <w:r>
        <w:rPr>
          <w:rFonts w:hint="eastAsia"/>
        </w:rPr>
        <w:t>3</w:t>
      </w:r>
      <w:r>
        <w:t>.</w:t>
      </w:r>
      <w:bookmarkEnd w:id="138"/>
      <w:r>
        <w:rPr>
          <w:rFonts w:hint="eastAsia"/>
        </w:rPr>
        <w:t>增加的</w:t>
      </w:r>
      <w:bookmarkEnd w:id="139"/>
      <w:r>
        <w:rPr>
          <w:rFonts w:hint="eastAsia"/>
        </w:rPr>
        <w:t>内容</w:t>
      </w:r>
      <w:bookmarkEnd w:id="140"/>
      <w:bookmarkEnd w:id="141"/>
      <w:bookmarkEnd w:id="142"/>
      <w:r>
        <w:rPr>
          <w:rFonts w:hint="eastAsia"/>
        </w:rPr>
        <w:t>（</w:t>
      </w:r>
      <w:r>
        <w:t>28</w:t>
      </w:r>
      <w:r>
        <w:rPr>
          <w:rFonts w:hint="eastAsia"/>
        </w:rPr>
        <w:t>条）</w:t>
      </w:r>
      <w:bookmarkEnd w:id="143"/>
      <w:bookmarkEnd w:id="144"/>
      <w:bookmarkEnd w:id="145"/>
      <w:bookmarkEnd w:id="146"/>
      <w:bookmarkEnd w:id="147"/>
      <w:bookmarkEnd w:id="148"/>
      <w:bookmarkEnd w:id="149"/>
      <w:bookmarkEnd w:id="150"/>
    </w:p>
    <w:p w14:paraId="7F3A7D21" w14:textId="77777777" w:rsidR="00D4394E" w:rsidRDefault="00000000">
      <w:pPr>
        <w:pStyle w:val="4"/>
        <w:adjustRightInd w:val="0"/>
        <w:snapToGrid w:val="0"/>
        <w:ind w:firstLineChars="200" w:firstLine="482"/>
      </w:pPr>
      <w:r>
        <w:rPr>
          <w:rFonts w:hint="eastAsia"/>
        </w:rPr>
        <w:t>（</w:t>
      </w:r>
      <w:r>
        <w:rPr>
          <w:rFonts w:hint="eastAsia"/>
        </w:rPr>
        <w:t>1</w:t>
      </w:r>
      <w:r>
        <w:rPr>
          <w:rFonts w:hint="eastAsia"/>
        </w:rPr>
        <w:t>）增加的引言</w:t>
      </w:r>
    </w:p>
    <w:p w14:paraId="01DF4FE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w:t>
      </w:r>
      <w:r>
        <w:rPr>
          <w:rFonts w:cs="Times New Roman" w:hint="eastAsia"/>
          <w:szCs w:val="24"/>
        </w:rPr>
        <w:t>GB/T</w:t>
      </w:r>
      <w:r>
        <w:rPr>
          <w:rFonts w:cs="Times New Roman"/>
          <w:szCs w:val="24"/>
        </w:rPr>
        <w:t xml:space="preserve"> </w:t>
      </w:r>
      <w:r>
        <w:rPr>
          <w:rFonts w:cs="Times New Roman" w:hint="eastAsia"/>
          <w:szCs w:val="24"/>
        </w:rPr>
        <w:t>1.1-2020</w:t>
      </w:r>
      <w:r>
        <w:rPr>
          <w:rFonts w:cs="Times New Roman" w:hint="eastAsia"/>
          <w:szCs w:val="24"/>
        </w:rPr>
        <w:t>《标准化工作导则第</w:t>
      </w:r>
      <w:r>
        <w:rPr>
          <w:rFonts w:cs="Times New Roman" w:hint="eastAsia"/>
          <w:szCs w:val="24"/>
        </w:rPr>
        <w:t>1</w:t>
      </w:r>
      <w:r>
        <w:rPr>
          <w:rFonts w:cs="Times New Roman" w:hint="eastAsia"/>
          <w:szCs w:val="24"/>
        </w:rPr>
        <w:t>部分：标准化文件的结构和起草规则》新增了引言。引言内说明了公共场所系列卫生标准的构成和本标准的意义。</w:t>
      </w:r>
    </w:p>
    <w:p w14:paraId="6F082C0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标准编制组从科学性、先进性、适用性以及可操作性，采用文献调研、问卷调查和标准比对等循证修订方式，开展了《公共场所卫生管理规范》修订需求调查评估、国内外公共场所卫生管理相关文献调研和公共场所风险分类分级评估（相关报告见附件</w:t>
      </w:r>
      <w:r>
        <w:rPr>
          <w:rFonts w:cs="Times New Roman" w:hint="eastAsia"/>
          <w:szCs w:val="24"/>
        </w:rPr>
        <w:t>1</w:t>
      </w:r>
      <w:r>
        <w:rPr>
          <w:rFonts w:cs="Times New Roman" w:hint="eastAsia"/>
          <w:szCs w:val="24"/>
        </w:rPr>
        <w:t>、附件</w:t>
      </w:r>
      <w:r>
        <w:rPr>
          <w:rFonts w:cs="Times New Roman" w:hint="eastAsia"/>
          <w:szCs w:val="24"/>
        </w:rPr>
        <w:t>2</w:t>
      </w:r>
      <w:r>
        <w:rPr>
          <w:rFonts w:cs="Times New Roman" w:hint="eastAsia"/>
          <w:szCs w:val="24"/>
        </w:rPr>
        <w:t>和附件</w:t>
      </w:r>
      <w:r>
        <w:rPr>
          <w:rFonts w:cs="Times New Roman" w:hint="eastAsia"/>
          <w:szCs w:val="24"/>
        </w:rPr>
        <w:t>3</w:t>
      </w:r>
      <w:r>
        <w:rPr>
          <w:rFonts w:cs="Times New Roman" w:hint="eastAsia"/>
          <w:szCs w:val="24"/>
        </w:rPr>
        <w:t>）。</w:t>
      </w:r>
    </w:p>
    <w:p w14:paraId="278CDDDC" w14:textId="77777777" w:rsidR="00D4394E" w:rsidRDefault="00000000">
      <w:pPr>
        <w:pStyle w:val="4"/>
        <w:adjustRightInd w:val="0"/>
        <w:snapToGrid w:val="0"/>
        <w:ind w:firstLineChars="200" w:firstLine="482"/>
      </w:pPr>
      <w:r>
        <w:rPr>
          <w:rFonts w:hint="eastAsia"/>
        </w:rPr>
        <w:t>（</w:t>
      </w:r>
      <w:r>
        <w:t>2</w:t>
      </w:r>
      <w:r>
        <w:rPr>
          <w:rFonts w:hint="eastAsia"/>
        </w:rPr>
        <w:t>）增加的规范性引用文件</w:t>
      </w:r>
      <w:r>
        <w:t>4</w:t>
      </w:r>
      <w:r>
        <w:rPr>
          <w:rFonts w:hint="eastAsia"/>
        </w:rPr>
        <w:t>项</w:t>
      </w:r>
    </w:p>
    <w:p w14:paraId="6228140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新增规范性引用文件</w:t>
      </w:r>
      <w:r>
        <w:rPr>
          <w:rFonts w:cs="Times New Roman" w:hint="eastAsia"/>
          <w:szCs w:val="24"/>
        </w:rPr>
        <w:t>GB</w:t>
      </w:r>
      <w:r>
        <w:rPr>
          <w:rFonts w:cs="Times New Roman"/>
          <w:szCs w:val="24"/>
        </w:rPr>
        <w:t xml:space="preserve"> </w:t>
      </w:r>
      <w:r>
        <w:rPr>
          <w:rFonts w:cs="Times New Roman" w:hint="eastAsia"/>
          <w:szCs w:val="24"/>
        </w:rPr>
        <w:t>37489.1</w:t>
      </w:r>
      <w:r>
        <w:rPr>
          <w:rFonts w:cs="Times New Roman" w:hint="eastAsia"/>
          <w:szCs w:val="24"/>
        </w:rPr>
        <w:t>～</w:t>
      </w:r>
      <w:r>
        <w:rPr>
          <w:rFonts w:cs="Times New Roman" w:hint="eastAsia"/>
          <w:szCs w:val="24"/>
        </w:rPr>
        <w:t>5</w:t>
      </w:r>
      <w:r>
        <w:rPr>
          <w:rFonts w:cs="Times New Roman"/>
          <w:szCs w:val="24"/>
        </w:rPr>
        <w:t xml:space="preserve"> </w:t>
      </w:r>
      <w:r>
        <w:rPr>
          <w:rFonts w:cs="Times New Roman" w:hint="eastAsia"/>
          <w:szCs w:val="24"/>
        </w:rPr>
        <w:t>公共场所设计卫生规范、</w:t>
      </w:r>
      <w:r>
        <w:rPr>
          <w:rFonts w:cs="Times New Roman"/>
          <w:szCs w:val="24"/>
        </w:rPr>
        <w:t xml:space="preserve">GB 50015 </w:t>
      </w:r>
      <w:r>
        <w:rPr>
          <w:rFonts w:cs="Times New Roman" w:hint="eastAsia"/>
          <w:szCs w:val="24"/>
        </w:rPr>
        <w:t>建筑给水排水设计标准、</w:t>
      </w:r>
      <w:r>
        <w:rPr>
          <w:rFonts w:cs="Times New Roman"/>
          <w:szCs w:val="24"/>
        </w:rPr>
        <w:t xml:space="preserve">WS 696 </w:t>
      </w:r>
      <w:r>
        <w:rPr>
          <w:rFonts w:cs="Times New Roman" w:hint="eastAsia"/>
          <w:szCs w:val="24"/>
        </w:rPr>
        <w:t>新冠肺炎疫情期间办公场所和公共场所空调通风系统运行管理卫生规范、</w:t>
      </w:r>
      <w:r>
        <w:rPr>
          <w:rFonts w:cs="Times New Roman"/>
          <w:szCs w:val="24"/>
        </w:rPr>
        <w:t xml:space="preserve">WS/T 699 </w:t>
      </w:r>
      <w:r>
        <w:rPr>
          <w:rFonts w:cs="Times New Roman" w:hint="eastAsia"/>
          <w:szCs w:val="24"/>
        </w:rPr>
        <w:t>人群聚集场所手卫生规范。</w:t>
      </w:r>
    </w:p>
    <w:p w14:paraId="3694C82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标准中</w:t>
      </w:r>
      <w:r>
        <w:rPr>
          <w:rFonts w:cs="Times New Roman" w:hint="eastAsia"/>
          <w:szCs w:val="24"/>
        </w:rPr>
        <w:t>4.8.1</w:t>
      </w:r>
      <w:r>
        <w:rPr>
          <w:rFonts w:cs="Times New Roman"/>
          <w:szCs w:val="24"/>
        </w:rPr>
        <w:t xml:space="preserve"> </w:t>
      </w:r>
      <w:r>
        <w:rPr>
          <w:rFonts w:cs="Times New Roman" w:hint="eastAsia"/>
          <w:szCs w:val="24"/>
        </w:rPr>
        <w:t>公共场所应按照</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的要求设置卫生专间（区），该条文引用了</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《公共场所设计卫生规范》。</w:t>
      </w:r>
    </w:p>
    <w:p w14:paraId="04CF4CD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原</w:t>
      </w:r>
      <w:r>
        <w:rPr>
          <w:rFonts w:cs="Times New Roman" w:hint="eastAsia"/>
          <w:szCs w:val="24"/>
        </w:rPr>
        <w:t>4.7</w:t>
      </w:r>
      <w:r>
        <w:rPr>
          <w:rFonts w:cs="Times New Roman" w:hint="eastAsia"/>
          <w:szCs w:val="24"/>
        </w:rPr>
        <w:t>条款修改为“人工游泳场所池水循环净化、消毒、补水、在线监测等设施设备应正常运行，每日补充水量应符合</w:t>
      </w:r>
      <w:r>
        <w:rPr>
          <w:rFonts w:cs="Times New Roman" w:hint="eastAsia"/>
          <w:szCs w:val="24"/>
        </w:rPr>
        <w:t>GB</w:t>
      </w:r>
      <w:r>
        <w:rPr>
          <w:rFonts w:cs="Times New Roman"/>
          <w:szCs w:val="24"/>
        </w:rPr>
        <w:t xml:space="preserve"> </w:t>
      </w:r>
      <w:r>
        <w:rPr>
          <w:rFonts w:cs="Times New Roman" w:hint="eastAsia"/>
          <w:szCs w:val="24"/>
        </w:rPr>
        <w:t>50015</w:t>
      </w:r>
      <w:r>
        <w:rPr>
          <w:rFonts w:cs="Times New Roman" w:hint="eastAsia"/>
          <w:szCs w:val="24"/>
        </w:rPr>
        <w:t>要求，儿童池营业期间应持续供给新水”。该条款依据《建筑给水排水设计标准》编写。</w:t>
      </w:r>
    </w:p>
    <w:p w14:paraId="1FC2E72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7.3 </w:t>
      </w:r>
      <w:r>
        <w:rPr>
          <w:rFonts w:cs="Times New Roman" w:hint="eastAsia"/>
          <w:szCs w:val="24"/>
        </w:rPr>
        <w:t>所在地市突发传染病暴发、流行时，参照</w:t>
      </w:r>
      <w:r>
        <w:rPr>
          <w:rFonts w:cs="Times New Roman" w:hint="eastAsia"/>
          <w:szCs w:val="24"/>
        </w:rPr>
        <w:t>WS</w:t>
      </w:r>
      <w:r>
        <w:rPr>
          <w:rFonts w:cs="Times New Roman"/>
          <w:szCs w:val="24"/>
        </w:rPr>
        <w:t xml:space="preserve"> </w:t>
      </w:r>
      <w:r>
        <w:rPr>
          <w:rFonts w:cs="Times New Roman" w:hint="eastAsia"/>
          <w:szCs w:val="24"/>
        </w:rPr>
        <w:t>696</w:t>
      </w:r>
      <w:r>
        <w:rPr>
          <w:rFonts w:cs="Times New Roman" w:hint="eastAsia"/>
          <w:szCs w:val="24"/>
        </w:rPr>
        <w:t>和</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执行。特殊情况需要使用集中空调通风系统的场所营业时，应以其系统最大新风量运行。故新增</w:t>
      </w:r>
      <w:r>
        <w:rPr>
          <w:rFonts w:cs="Times New Roman" w:hint="eastAsia"/>
          <w:szCs w:val="24"/>
        </w:rPr>
        <w:t>WS</w:t>
      </w:r>
      <w:r>
        <w:rPr>
          <w:rFonts w:cs="Times New Roman"/>
          <w:szCs w:val="24"/>
        </w:rPr>
        <w:t xml:space="preserve"> </w:t>
      </w:r>
      <w:r>
        <w:rPr>
          <w:rFonts w:cs="Times New Roman" w:hint="eastAsia"/>
          <w:szCs w:val="24"/>
        </w:rPr>
        <w:t>696</w:t>
      </w:r>
      <w:r>
        <w:rPr>
          <w:rFonts w:cs="Times New Roman" w:hint="eastAsia"/>
          <w:szCs w:val="24"/>
        </w:rPr>
        <w:t>《新冠肺炎疫情期间办公场所和公共场所空调通风系统运行管理卫生规范》引用文件。</w:t>
      </w:r>
    </w:p>
    <w:p w14:paraId="132AE5B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附录</w:t>
      </w:r>
      <w:r>
        <w:rPr>
          <w:rFonts w:cs="Times New Roman" w:hint="eastAsia"/>
          <w:szCs w:val="24"/>
        </w:rPr>
        <w:t>B</w:t>
      </w:r>
      <w:r>
        <w:rPr>
          <w:rFonts w:cs="Times New Roman" w:hint="eastAsia"/>
          <w:szCs w:val="24"/>
        </w:rPr>
        <w:t>新增手卫生基本要求，技术内容依据</w:t>
      </w:r>
      <w:r>
        <w:rPr>
          <w:rFonts w:cs="Times New Roman" w:hint="eastAsia"/>
          <w:szCs w:val="24"/>
        </w:rPr>
        <w:t>WS/T</w:t>
      </w:r>
      <w:r>
        <w:rPr>
          <w:rFonts w:cs="Times New Roman"/>
          <w:szCs w:val="24"/>
        </w:rPr>
        <w:t xml:space="preserve"> </w:t>
      </w:r>
      <w:r>
        <w:rPr>
          <w:rFonts w:cs="Times New Roman" w:hint="eastAsia"/>
          <w:szCs w:val="24"/>
        </w:rPr>
        <w:t>699</w:t>
      </w:r>
      <w:r>
        <w:rPr>
          <w:rFonts w:cs="Times New Roman" w:hint="eastAsia"/>
          <w:szCs w:val="24"/>
        </w:rPr>
        <w:t>《人群聚集场所手卫生规范》编写，故新增该引用文件。</w:t>
      </w:r>
    </w:p>
    <w:p w14:paraId="6FBA69F3" w14:textId="77777777" w:rsidR="00D4394E" w:rsidRDefault="00000000">
      <w:pPr>
        <w:pStyle w:val="4"/>
        <w:adjustRightInd w:val="0"/>
        <w:snapToGrid w:val="0"/>
      </w:pPr>
      <w:r>
        <w:rPr>
          <w:rFonts w:hint="eastAsia"/>
        </w:rPr>
        <w:t>（</w:t>
      </w:r>
      <w:r>
        <w:t>3</w:t>
      </w:r>
      <w:r>
        <w:rPr>
          <w:rFonts w:hint="eastAsia"/>
        </w:rPr>
        <w:t>）增加的术语定义</w:t>
      </w:r>
      <w:r>
        <w:rPr>
          <w:rFonts w:hint="eastAsia"/>
        </w:rPr>
        <w:t>2</w:t>
      </w:r>
      <w:r>
        <w:rPr>
          <w:rFonts w:hint="eastAsia"/>
        </w:rPr>
        <w:t>项</w:t>
      </w:r>
    </w:p>
    <w:p w14:paraId="5D7F8763"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1</w:t>
      </w:r>
      <w:r>
        <w:rPr>
          <w:rFonts w:cs="Times New Roman" w:hint="eastAsia"/>
          <w:szCs w:val="24"/>
        </w:rPr>
        <w:t>）“公共卫生用品”</w:t>
      </w:r>
    </w:p>
    <w:p w14:paraId="0079C16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公共卫生用品</w:t>
      </w:r>
      <w:r>
        <w:rPr>
          <w:rFonts w:cs="Times New Roman"/>
          <w:szCs w:val="24"/>
        </w:rPr>
        <w:t xml:space="preserve"> public health supplies </w:t>
      </w:r>
      <w:r>
        <w:rPr>
          <w:rFonts w:cs="Times New Roman" w:hint="eastAsia"/>
          <w:szCs w:val="24"/>
        </w:rPr>
        <w:t>用于公共场所并受到相应卫生法规和标准监管的各类产品，主要包括消毒产品、涉水产品、杀虫剂、灭鼠剂、安全套、洗发液、沐浴液、烫发剂、染发剂和美容护肤类化妆品等。</w:t>
      </w:r>
    </w:p>
    <w:p w14:paraId="59FD372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6238B4F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依据《公共场所卫生管理条例实施细则》第八条第一款第（七）项：“公共场所卫生管理档案应当主要包括下列内容：（七）公共卫生用品进货索证管理情况”中的“公共卫生用品”设置该术语。</w:t>
      </w:r>
    </w:p>
    <w:p w14:paraId="34846EE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参考原标准“</w:t>
      </w:r>
      <w:r>
        <w:rPr>
          <w:rFonts w:cs="Times New Roman" w:hint="eastAsia"/>
          <w:szCs w:val="24"/>
        </w:rPr>
        <w:t>4.1.1</w:t>
      </w:r>
      <w:r>
        <w:rPr>
          <w:rFonts w:cs="Times New Roman"/>
          <w:szCs w:val="24"/>
        </w:rPr>
        <w:t xml:space="preserve"> </w:t>
      </w:r>
      <w:r>
        <w:rPr>
          <w:rFonts w:cs="Times New Roman" w:hint="eastAsia"/>
          <w:szCs w:val="24"/>
        </w:rPr>
        <w:t>公共场所配置的卫生相关产品（包括：消毒产品、涉水产品、杀虫剂、灭鼠剂、避孕套和供顾客使用的洗发液、沐浴液、烫发剂、染发剂、美容护肤类化妆品等）应执行进货验收制度，保证产品质量，标签标识规范”，</w:t>
      </w:r>
      <w:r>
        <w:rPr>
          <w:rFonts w:cs="Times New Roman" w:hint="eastAsia"/>
          <w:szCs w:val="24"/>
        </w:rPr>
        <w:lastRenderedPageBreak/>
        <w:t>“</w:t>
      </w:r>
      <w:r>
        <w:t xml:space="preserve">4.8 </w:t>
      </w:r>
      <w:r>
        <w:rPr>
          <w:rFonts w:hint="eastAsia"/>
        </w:rPr>
        <w:t>卫生相关产品</w:t>
      </w:r>
      <w:r>
        <w:rPr>
          <w:rFonts w:hint="eastAsia"/>
        </w:rPr>
        <w:t xml:space="preserve"> </w:t>
      </w:r>
      <w:r>
        <w:t xml:space="preserve">4.8.1 </w:t>
      </w:r>
      <w:r>
        <w:rPr>
          <w:rFonts w:hint="eastAsia"/>
        </w:rPr>
        <w:t>公共场所配置、使用的消毒产品﹑涉水产品、杀虫剂、灭鼠剂、避孕套、洗发液、沐浴液、烫发剂、染发剂和美容护肤类化妆品等产品质量应符合国家相关规定，不得配置，使用过期产品、劣质产品。”，综上</w:t>
      </w:r>
      <w:r>
        <w:rPr>
          <w:rFonts w:cs="Times New Roman" w:hint="eastAsia"/>
          <w:szCs w:val="24"/>
        </w:rPr>
        <w:t>提炼出卫生相关产品的定义。</w:t>
      </w:r>
    </w:p>
    <w:p w14:paraId="57A0879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2</w:t>
      </w:r>
      <w:r>
        <w:rPr>
          <w:rFonts w:cs="Times New Roman" w:hint="eastAsia"/>
          <w:szCs w:val="24"/>
        </w:rPr>
        <w:t>）“手卫生”</w:t>
      </w:r>
    </w:p>
    <w:p w14:paraId="447D76C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手卫生</w:t>
      </w:r>
      <w:r>
        <w:rPr>
          <w:rFonts w:cs="Times New Roman"/>
          <w:szCs w:val="24"/>
        </w:rPr>
        <w:t xml:space="preserve"> hand hygiene </w:t>
      </w:r>
      <w:r>
        <w:rPr>
          <w:rFonts w:cs="Times New Roman" w:hint="eastAsia"/>
          <w:szCs w:val="24"/>
        </w:rPr>
        <w:t>为维持手部清洁、减少有害微生物（如细菌、病毒）而采取的一系列日常清洁和消毒措施。</w:t>
      </w:r>
    </w:p>
    <w:p w14:paraId="1C41A2F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1D163AF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该术语定义参考</w:t>
      </w:r>
      <w:r>
        <w:rPr>
          <w:rFonts w:cs="Times New Roman" w:hint="eastAsia"/>
          <w:szCs w:val="24"/>
        </w:rPr>
        <w:t>WS/T</w:t>
      </w:r>
      <w:r>
        <w:rPr>
          <w:rFonts w:cs="Times New Roman"/>
          <w:szCs w:val="24"/>
        </w:rPr>
        <w:t xml:space="preserve"> </w:t>
      </w:r>
      <w:r>
        <w:rPr>
          <w:rFonts w:cs="Times New Roman" w:hint="eastAsia"/>
          <w:szCs w:val="24"/>
        </w:rPr>
        <w:t>699-2020</w:t>
      </w:r>
      <w:r>
        <w:rPr>
          <w:rFonts w:cs="Times New Roman" w:hint="eastAsia"/>
          <w:szCs w:val="24"/>
        </w:rPr>
        <w:t>人群聚集场所手卫生规范，并借鉴医疗卫生中手卫生的定义或依据公共场所中手部卫生的特征直接定义为：“为维持手部清洁、减少有害微生物（如细菌、病毒）而采取的一系列日常清洁和消毒措施。”</w:t>
      </w:r>
    </w:p>
    <w:p w14:paraId="78E20ADF" w14:textId="77777777" w:rsidR="00D4394E" w:rsidRDefault="00000000">
      <w:pPr>
        <w:pStyle w:val="4"/>
        <w:adjustRightInd w:val="0"/>
        <w:snapToGrid w:val="0"/>
      </w:pPr>
      <w:r>
        <w:rPr>
          <w:rFonts w:hint="eastAsia"/>
        </w:rPr>
        <w:t>（</w:t>
      </w:r>
      <w:r>
        <w:t>4</w:t>
      </w:r>
      <w:r>
        <w:rPr>
          <w:rFonts w:hint="eastAsia"/>
        </w:rPr>
        <w:t>）增加的技术内容</w:t>
      </w:r>
      <w:r>
        <w:rPr>
          <w:rFonts w:hint="eastAsia"/>
        </w:rPr>
        <w:t>2</w:t>
      </w:r>
      <w:r>
        <w:t>1</w:t>
      </w:r>
      <w:r>
        <w:rPr>
          <w:rFonts w:hint="eastAsia"/>
        </w:rPr>
        <w:t>项</w:t>
      </w:r>
    </w:p>
    <w:p w14:paraId="12C7FCBC" w14:textId="77777777" w:rsidR="00D4394E" w:rsidRDefault="00000000">
      <w:pPr>
        <w:adjustRightInd w:val="0"/>
        <w:snapToGrid w:val="0"/>
        <w:spacing w:line="240" w:lineRule="auto"/>
        <w:ind w:firstLineChars="200" w:firstLine="482"/>
        <w:rPr>
          <w:rFonts w:cs="Times New Roman"/>
          <w:b/>
          <w:bCs/>
          <w:szCs w:val="24"/>
        </w:rPr>
      </w:pPr>
      <w:r>
        <w:rPr>
          <w:rFonts w:cs="Times New Roman" w:hint="eastAsia"/>
          <w:b/>
          <w:bCs/>
          <w:szCs w:val="24"/>
        </w:rPr>
        <w:t>1</w:t>
      </w:r>
      <w:r>
        <w:rPr>
          <w:rFonts w:cs="Times New Roman" w:hint="eastAsia"/>
          <w:b/>
          <w:bCs/>
          <w:szCs w:val="24"/>
        </w:rPr>
        <w:t>）</w:t>
      </w:r>
      <w:r>
        <w:rPr>
          <w:rFonts w:cs="Times New Roman"/>
          <w:b/>
          <w:bCs/>
          <w:szCs w:val="24"/>
        </w:rPr>
        <w:t xml:space="preserve">4.4 </w:t>
      </w:r>
      <w:r>
        <w:rPr>
          <w:rFonts w:cs="Times New Roman" w:hint="eastAsia"/>
          <w:b/>
          <w:bCs/>
          <w:szCs w:val="24"/>
        </w:rPr>
        <w:t>通风与空调</w:t>
      </w:r>
      <w:r>
        <w:rPr>
          <w:rFonts w:cs="Times New Roman"/>
          <w:b/>
          <w:bCs/>
          <w:szCs w:val="24"/>
        </w:rPr>
        <w:t xml:space="preserve"> 4.4.5 </w:t>
      </w:r>
    </w:p>
    <w:p w14:paraId="1D37652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增加了对于室内公共场所人为污染源的防控要求。</w:t>
      </w:r>
    </w:p>
    <w:p w14:paraId="713167F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4.4.5 </w:t>
      </w:r>
      <w:r>
        <w:rPr>
          <w:rFonts w:cs="Times New Roman" w:hint="eastAsia"/>
          <w:szCs w:val="24"/>
        </w:rPr>
        <w:t>室内公共场所应采取有效措施，防止烟草烟雾、燃香（如蚊香、盘香）、木炭燃烧及气雾剂（如空气清新剂）等产生的污染物对室内空气质量造成不良影响。</w:t>
      </w:r>
    </w:p>
    <w:p w14:paraId="0F6EF2F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2E6B74B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室内公共场所内烟草烟雾、燃香、木炭燃烧及气雾剂可能是室内空气污染的人为来源，提出了对于人为空气污染来源，上述污染源会释放有害颗粒物和化学物，损害呼吸、心血管系统并增加致癌风险。公共场所应采取有效的预防措施，如设置醒目禁烟标识，并履行劝阻责任；加强通风、使用空气净化器；选择天然替代品等。</w:t>
      </w:r>
    </w:p>
    <w:p w14:paraId="6B68CCBE" w14:textId="77777777" w:rsidR="00D4394E" w:rsidRDefault="00000000">
      <w:pPr>
        <w:adjustRightInd w:val="0"/>
        <w:snapToGrid w:val="0"/>
        <w:spacing w:line="240" w:lineRule="auto"/>
        <w:ind w:firstLineChars="200" w:firstLine="482"/>
        <w:rPr>
          <w:rFonts w:cs="Times New Roman"/>
          <w:b/>
          <w:bCs/>
          <w:szCs w:val="24"/>
        </w:rPr>
      </w:pPr>
      <w:r>
        <w:rPr>
          <w:rFonts w:cs="Times New Roman" w:hint="eastAsia"/>
          <w:b/>
          <w:bCs/>
          <w:szCs w:val="24"/>
        </w:rPr>
        <w:t>2</w:t>
      </w:r>
      <w:r>
        <w:rPr>
          <w:rFonts w:cs="Times New Roman" w:hint="eastAsia"/>
          <w:b/>
          <w:bCs/>
          <w:szCs w:val="24"/>
        </w:rPr>
        <w:t>）</w:t>
      </w:r>
      <w:r>
        <w:rPr>
          <w:rFonts w:cs="Times New Roman"/>
          <w:b/>
          <w:bCs/>
          <w:szCs w:val="24"/>
        </w:rPr>
        <w:t xml:space="preserve">4.7 </w:t>
      </w:r>
      <w:r>
        <w:rPr>
          <w:rFonts w:cs="Times New Roman" w:hint="eastAsia"/>
          <w:b/>
          <w:bCs/>
          <w:szCs w:val="24"/>
        </w:rPr>
        <w:t>物体表面</w:t>
      </w:r>
      <w:r>
        <w:rPr>
          <w:rFonts w:cs="Times New Roman"/>
          <w:b/>
          <w:bCs/>
          <w:szCs w:val="24"/>
        </w:rPr>
        <w:t xml:space="preserve"> 4.7.1 </w:t>
      </w:r>
    </w:p>
    <w:p w14:paraId="2E838D6F" w14:textId="77777777" w:rsidR="00D4394E" w:rsidRDefault="00000000">
      <w:pPr>
        <w:adjustRightInd w:val="0"/>
        <w:snapToGrid w:val="0"/>
        <w:spacing w:line="240" w:lineRule="auto"/>
        <w:ind w:firstLineChars="200" w:firstLine="480"/>
        <w:rPr>
          <w:rFonts w:eastAsia="楷体" w:cs="Times New Roman"/>
          <w:b/>
          <w:bCs/>
          <w:szCs w:val="24"/>
        </w:rPr>
      </w:pPr>
      <w:r>
        <w:rPr>
          <w:rFonts w:hint="eastAsia"/>
        </w:rPr>
        <w:t>增加了“物体表面”的卫生要求</w:t>
      </w:r>
    </w:p>
    <w:p w14:paraId="07D5B145"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4.7.1 </w:t>
      </w:r>
      <w:r>
        <w:rPr>
          <w:rFonts w:hint="eastAsia"/>
        </w:rPr>
        <w:t>公共设施设备物体表面应定期开展清洁和消毒，并符合</w:t>
      </w:r>
      <w:r>
        <w:rPr>
          <w:rFonts w:hint="eastAsia"/>
        </w:rPr>
        <w:t>GB</w:t>
      </w:r>
      <w:r>
        <w:t xml:space="preserve"> </w:t>
      </w:r>
      <w:r>
        <w:rPr>
          <w:rFonts w:hint="eastAsia"/>
        </w:rPr>
        <w:t>37488</w:t>
      </w:r>
      <w:r>
        <w:rPr>
          <w:rFonts w:hint="eastAsia"/>
        </w:rPr>
        <w:t>的卫生要求。</w:t>
      </w:r>
    </w:p>
    <w:p w14:paraId="2BFE64A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59684A8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物体表面是经接触传播疾病的重要介质，是开展卫生检测的重要环节。据媒体报道影剧院、高铁站等座椅出现螨虫污染状况，因此增加“</w:t>
      </w:r>
      <w:r>
        <w:rPr>
          <w:rFonts w:cs="Times New Roman" w:hint="eastAsia"/>
          <w:szCs w:val="24"/>
        </w:rPr>
        <w:t>4.</w:t>
      </w:r>
      <w:r>
        <w:rPr>
          <w:rFonts w:cs="Times New Roman"/>
          <w:szCs w:val="24"/>
        </w:rPr>
        <w:t>7</w:t>
      </w:r>
      <w:r>
        <w:rPr>
          <w:rFonts w:cs="Times New Roman" w:hint="eastAsia"/>
          <w:szCs w:val="24"/>
        </w:rPr>
        <w:t>物体表面”内容。</w:t>
      </w:r>
      <w:r>
        <w:rPr>
          <w:rFonts w:cs="Times New Roman" w:hint="eastAsia"/>
          <w:szCs w:val="24"/>
        </w:rPr>
        <w:t>4.</w:t>
      </w:r>
      <w:r>
        <w:rPr>
          <w:rFonts w:cs="Times New Roman"/>
          <w:szCs w:val="24"/>
        </w:rPr>
        <w:t>7</w:t>
      </w:r>
      <w:r>
        <w:rPr>
          <w:rFonts w:cs="Times New Roman" w:hint="eastAsia"/>
          <w:szCs w:val="24"/>
        </w:rPr>
        <w:t>.1</w:t>
      </w:r>
      <w:r>
        <w:rPr>
          <w:rFonts w:cs="Times New Roman" w:hint="eastAsia"/>
          <w:szCs w:val="24"/>
        </w:rPr>
        <w:t>规定公共设备设施物体表面应定期开展清洁和消毒，并符合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的卫生要求（高频接触物体表面应清洁、无污渍、无异味）。</w:t>
      </w:r>
    </w:p>
    <w:p w14:paraId="11004AE1" w14:textId="77777777" w:rsidR="00D4394E" w:rsidRDefault="00000000">
      <w:pPr>
        <w:adjustRightInd w:val="0"/>
        <w:snapToGrid w:val="0"/>
        <w:spacing w:line="240" w:lineRule="auto"/>
        <w:ind w:firstLineChars="200" w:firstLine="482"/>
        <w:rPr>
          <w:rFonts w:cs="Times New Roman"/>
          <w:b/>
          <w:bCs/>
          <w:szCs w:val="24"/>
        </w:rPr>
      </w:pPr>
      <w:r>
        <w:rPr>
          <w:rFonts w:cs="Times New Roman" w:hint="eastAsia"/>
          <w:b/>
          <w:bCs/>
          <w:szCs w:val="24"/>
        </w:rPr>
        <w:t>3</w:t>
      </w:r>
      <w:r>
        <w:rPr>
          <w:rFonts w:cs="Times New Roman" w:hint="eastAsia"/>
          <w:b/>
          <w:bCs/>
          <w:szCs w:val="24"/>
        </w:rPr>
        <w:t>）</w:t>
      </w:r>
      <w:r>
        <w:rPr>
          <w:rFonts w:cs="Times New Roman"/>
          <w:b/>
          <w:bCs/>
          <w:szCs w:val="24"/>
        </w:rPr>
        <w:t xml:space="preserve">4.7 </w:t>
      </w:r>
      <w:r>
        <w:rPr>
          <w:rFonts w:cs="Times New Roman" w:hint="eastAsia"/>
          <w:b/>
          <w:bCs/>
          <w:szCs w:val="24"/>
        </w:rPr>
        <w:t>物体表面</w:t>
      </w:r>
      <w:r>
        <w:rPr>
          <w:rFonts w:cs="Times New Roman"/>
          <w:b/>
          <w:bCs/>
          <w:szCs w:val="24"/>
        </w:rPr>
        <w:t xml:space="preserve"> 4.7.2</w:t>
      </w:r>
    </w:p>
    <w:p w14:paraId="53455CCC"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4.7.2 </w:t>
      </w:r>
      <w:r>
        <w:rPr>
          <w:rFonts w:hint="eastAsia"/>
        </w:rPr>
        <w:t>传染病流行期间存在接触传播风险的，应对物体表面每天进行</w:t>
      </w:r>
      <w:r>
        <w:rPr>
          <w:rFonts w:hint="eastAsia"/>
        </w:rPr>
        <w:t>1</w:t>
      </w:r>
      <w:r>
        <w:rPr>
          <w:rFonts w:hint="eastAsia"/>
        </w:rPr>
        <w:t>次</w:t>
      </w:r>
      <w:r>
        <w:rPr>
          <w:rFonts w:hint="eastAsia"/>
        </w:rPr>
        <w:t>~2</w:t>
      </w:r>
      <w:r>
        <w:rPr>
          <w:rFonts w:hint="eastAsia"/>
        </w:rPr>
        <w:t>次清洁和消毒。</w:t>
      </w:r>
    </w:p>
    <w:p w14:paraId="2705EDC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297ED15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传染病流行期间，为满足社会经济活动需求，部分公共场所正常营业，依据</w:t>
      </w:r>
      <w:r>
        <w:rPr>
          <w:rFonts w:cs="Times New Roman" w:hint="eastAsia"/>
          <w:szCs w:val="24"/>
        </w:rPr>
        <w:t>GB</w:t>
      </w:r>
      <w:r>
        <w:rPr>
          <w:rFonts w:cs="Times New Roman"/>
          <w:szCs w:val="24"/>
        </w:rPr>
        <w:t xml:space="preserve"> </w:t>
      </w:r>
      <w:r>
        <w:rPr>
          <w:rFonts w:cs="Times New Roman" w:hint="eastAsia"/>
          <w:szCs w:val="24"/>
        </w:rPr>
        <w:t>19193-2025</w:t>
      </w:r>
      <w:r>
        <w:rPr>
          <w:rFonts w:cs="Times New Roman" w:hint="eastAsia"/>
          <w:szCs w:val="24"/>
        </w:rPr>
        <w:t>《传染病消毒规范》“</w:t>
      </w:r>
      <w:r>
        <w:rPr>
          <w:rFonts w:cs="Times New Roman" w:hint="eastAsia"/>
          <w:szCs w:val="24"/>
        </w:rPr>
        <w:t>5.1.4</w:t>
      </w:r>
      <w:r>
        <w:rPr>
          <w:rFonts w:cs="Times New Roman" w:hint="eastAsia"/>
          <w:szCs w:val="24"/>
        </w:rPr>
        <w:t>在传染病流行期间</w:t>
      </w:r>
      <w:r>
        <w:rPr>
          <w:rFonts w:cs="Times New Roman" w:hint="eastAsia"/>
          <w:szCs w:val="24"/>
        </w:rPr>
        <w:t>,</w:t>
      </w:r>
      <w:r>
        <w:rPr>
          <w:rFonts w:cs="Times New Roman" w:hint="eastAsia"/>
          <w:szCs w:val="24"/>
        </w:rPr>
        <w:t>对环境表面每天进行</w:t>
      </w:r>
      <w:r>
        <w:rPr>
          <w:rFonts w:cs="Times New Roman" w:hint="eastAsia"/>
          <w:szCs w:val="24"/>
        </w:rPr>
        <w:t>1</w:t>
      </w:r>
      <w:r>
        <w:rPr>
          <w:rFonts w:cs="Times New Roman" w:hint="eastAsia"/>
          <w:szCs w:val="24"/>
        </w:rPr>
        <w:t>次</w:t>
      </w:r>
      <w:r>
        <w:rPr>
          <w:rFonts w:cs="Times New Roman" w:hint="eastAsia"/>
          <w:szCs w:val="24"/>
        </w:rPr>
        <w:t>~2</w:t>
      </w:r>
      <w:r>
        <w:rPr>
          <w:rFonts w:cs="Times New Roman" w:hint="eastAsia"/>
          <w:szCs w:val="24"/>
        </w:rPr>
        <w:t>次预防性消毒</w:t>
      </w:r>
      <w:r>
        <w:rPr>
          <w:rFonts w:cs="Times New Roman" w:hint="eastAsia"/>
          <w:szCs w:val="24"/>
        </w:rPr>
        <w:t>,</w:t>
      </w:r>
      <w:r>
        <w:rPr>
          <w:rFonts w:cs="Times New Roman" w:hint="eastAsia"/>
          <w:szCs w:val="24"/>
        </w:rPr>
        <w:t>必要时增加消毒频次或采用长效消毒剂”的要求，</w:t>
      </w:r>
      <w:r>
        <w:rPr>
          <w:rFonts w:cs="Times New Roman" w:hint="eastAsia"/>
          <w:szCs w:val="24"/>
        </w:rPr>
        <w:t>4.</w:t>
      </w:r>
      <w:r>
        <w:rPr>
          <w:rFonts w:cs="Times New Roman"/>
          <w:szCs w:val="24"/>
        </w:rPr>
        <w:t>7</w:t>
      </w:r>
      <w:r>
        <w:rPr>
          <w:rFonts w:cs="Times New Roman" w:hint="eastAsia"/>
          <w:szCs w:val="24"/>
        </w:rPr>
        <w:t>.2</w:t>
      </w:r>
      <w:r>
        <w:rPr>
          <w:rFonts w:cs="Times New Roman" w:hint="eastAsia"/>
          <w:szCs w:val="24"/>
        </w:rPr>
        <w:t>规定了传染病流行期间应对</w:t>
      </w:r>
      <w:r>
        <w:rPr>
          <w:rFonts w:hint="eastAsia"/>
        </w:rPr>
        <w:t>存在接触传播风险的</w:t>
      </w:r>
      <w:r>
        <w:rPr>
          <w:rFonts w:cs="Times New Roman" w:hint="eastAsia"/>
          <w:szCs w:val="24"/>
        </w:rPr>
        <w:t>物体表面</w:t>
      </w:r>
      <w:r>
        <w:rPr>
          <w:rFonts w:hint="eastAsia"/>
        </w:rPr>
        <w:t>每天进行</w:t>
      </w:r>
      <w:r>
        <w:rPr>
          <w:rFonts w:hint="eastAsia"/>
        </w:rPr>
        <w:t>1</w:t>
      </w:r>
      <w:r>
        <w:rPr>
          <w:rFonts w:hint="eastAsia"/>
        </w:rPr>
        <w:t>次</w:t>
      </w:r>
      <w:r>
        <w:rPr>
          <w:rFonts w:hint="eastAsia"/>
        </w:rPr>
        <w:t>~2</w:t>
      </w:r>
      <w:r>
        <w:rPr>
          <w:rFonts w:hint="eastAsia"/>
        </w:rPr>
        <w:t>次清洁和消毒。</w:t>
      </w:r>
    </w:p>
    <w:p w14:paraId="0130DFDB" w14:textId="77777777" w:rsidR="00D4394E" w:rsidRDefault="00000000">
      <w:pPr>
        <w:adjustRightInd w:val="0"/>
        <w:snapToGrid w:val="0"/>
        <w:spacing w:line="240" w:lineRule="auto"/>
        <w:ind w:firstLine="480"/>
        <w:rPr>
          <w:rFonts w:cs="Times New Roman"/>
          <w:b/>
          <w:bCs/>
          <w:szCs w:val="24"/>
        </w:rPr>
      </w:pPr>
      <w:r>
        <w:rPr>
          <w:rFonts w:cs="Times New Roman"/>
          <w:b/>
          <w:bCs/>
          <w:szCs w:val="24"/>
        </w:rPr>
        <w:t>4</w:t>
      </w:r>
      <w:r>
        <w:rPr>
          <w:rFonts w:cs="Times New Roman" w:hint="eastAsia"/>
          <w:b/>
          <w:bCs/>
          <w:szCs w:val="24"/>
        </w:rPr>
        <w:t>）</w:t>
      </w:r>
      <w:r>
        <w:rPr>
          <w:rFonts w:cs="Times New Roman"/>
          <w:b/>
          <w:bCs/>
          <w:szCs w:val="24"/>
        </w:rPr>
        <w:t xml:space="preserve">4.8.1 </w:t>
      </w:r>
      <w:r>
        <w:rPr>
          <w:rFonts w:cs="Times New Roman" w:hint="eastAsia"/>
          <w:b/>
          <w:bCs/>
          <w:szCs w:val="24"/>
        </w:rPr>
        <w:t>“设置卫生专间（区）”的要求</w:t>
      </w:r>
    </w:p>
    <w:p w14:paraId="4B08765A"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4.8.1</w:t>
      </w:r>
      <w:r>
        <w:rPr>
          <w:rFonts w:cs="Times New Roman" w:hint="eastAsia"/>
          <w:szCs w:val="24"/>
        </w:rPr>
        <w:t xml:space="preserve"> </w:t>
      </w:r>
      <w:r>
        <w:rPr>
          <w:rFonts w:cs="Times New Roman" w:hint="eastAsia"/>
          <w:szCs w:val="24"/>
        </w:rPr>
        <w:t>公共场所应按照</w:t>
      </w:r>
      <w:r>
        <w:rPr>
          <w:rFonts w:cs="Times New Roman" w:hint="eastAsia"/>
          <w:szCs w:val="24"/>
        </w:rPr>
        <w:t>GB 37489</w:t>
      </w:r>
      <w:r>
        <w:rPr>
          <w:rFonts w:cs="Times New Roman" w:hint="eastAsia"/>
          <w:szCs w:val="24"/>
        </w:rPr>
        <w:t>的要求设置卫生专间（区）</w:t>
      </w:r>
      <w:r>
        <w:rPr>
          <w:rFonts w:hint="eastAsia"/>
        </w:rPr>
        <w:t>，专间专用</w:t>
      </w:r>
      <w:r>
        <w:rPr>
          <w:rFonts w:cs="Times New Roman" w:hint="eastAsia"/>
          <w:szCs w:val="24"/>
        </w:rPr>
        <w:t>。</w:t>
      </w:r>
    </w:p>
    <w:p w14:paraId="1EB1317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0EC36E3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lastRenderedPageBreak/>
        <w:t>根据《公共场所卫生设计规范</w:t>
      </w:r>
      <w:r>
        <w:rPr>
          <w:rFonts w:cs="Times New Roman"/>
          <w:szCs w:val="24"/>
        </w:rPr>
        <w:t xml:space="preserve"> </w:t>
      </w:r>
      <w:r>
        <w:rPr>
          <w:rFonts w:cs="Times New Roman" w:hint="eastAsia"/>
          <w:szCs w:val="24"/>
        </w:rPr>
        <w:t>第</w:t>
      </w:r>
      <w:r>
        <w:rPr>
          <w:rFonts w:cs="Times New Roman" w:hint="eastAsia"/>
          <w:szCs w:val="24"/>
        </w:rPr>
        <w:t>1</w:t>
      </w:r>
      <w:r>
        <w:rPr>
          <w:rFonts w:cs="Times New Roman" w:hint="eastAsia"/>
          <w:szCs w:val="24"/>
        </w:rPr>
        <w:t>部分：总则》（</w:t>
      </w:r>
      <w:r>
        <w:rPr>
          <w:rFonts w:cs="Times New Roman" w:hint="eastAsia"/>
          <w:szCs w:val="24"/>
        </w:rPr>
        <w:t>GB</w:t>
      </w:r>
      <w:r>
        <w:rPr>
          <w:rFonts w:cs="Times New Roman"/>
          <w:szCs w:val="24"/>
        </w:rPr>
        <w:t xml:space="preserve"> </w:t>
      </w:r>
      <w:r>
        <w:rPr>
          <w:rFonts w:cs="Times New Roman" w:hint="eastAsia"/>
          <w:szCs w:val="24"/>
        </w:rPr>
        <w:t>37489.1-2019</w:t>
      </w:r>
      <w:r>
        <w:rPr>
          <w:rFonts w:cs="Times New Roman" w:hint="eastAsia"/>
          <w:szCs w:val="24"/>
        </w:rPr>
        <w:t>）中</w:t>
      </w:r>
      <w:r>
        <w:rPr>
          <w:rFonts w:cs="Times New Roman" w:hint="eastAsia"/>
          <w:szCs w:val="24"/>
        </w:rPr>
        <w:t>5</w:t>
      </w:r>
      <w:r>
        <w:rPr>
          <w:rFonts w:cs="Times New Roman" w:hint="eastAsia"/>
          <w:szCs w:val="24"/>
        </w:rPr>
        <w:t>总体布局与功能分区的要求，在本标准</w:t>
      </w:r>
      <w:r>
        <w:rPr>
          <w:rFonts w:cs="Times New Roman" w:hint="eastAsia"/>
          <w:szCs w:val="24"/>
        </w:rPr>
        <w:t>5.1.4.1</w:t>
      </w:r>
      <w:r>
        <w:rPr>
          <w:rFonts w:cs="Times New Roman" w:hint="eastAsia"/>
          <w:szCs w:val="24"/>
        </w:rPr>
        <w:t>中新增“公共场所应按照</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的要求设置卫生专间（区）”的表述，作为设置卫生专间（区）的总体依据。将原标准</w:t>
      </w:r>
      <w:r>
        <w:rPr>
          <w:rFonts w:cs="Times New Roman" w:hint="eastAsia"/>
          <w:szCs w:val="24"/>
        </w:rPr>
        <w:t>4.9.1</w:t>
      </w:r>
      <w:r>
        <w:rPr>
          <w:rFonts w:cs="Times New Roman" w:hint="eastAsia"/>
          <w:szCs w:val="24"/>
        </w:rPr>
        <w:t>、</w:t>
      </w:r>
      <w:r>
        <w:rPr>
          <w:rFonts w:cs="Times New Roman" w:hint="eastAsia"/>
          <w:szCs w:val="24"/>
        </w:rPr>
        <w:t>4.9.3</w:t>
      </w:r>
      <w:r>
        <w:rPr>
          <w:rFonts w:cs="Times New Roman" w:hint="eastAsia"/>
          <w:szCs w:val="24"/>
        </w:rPr>
        <w:t>“应做到专间专用”“应专室专用”合并为</w:t>
      </w:r>
      <w:r>
        <w:rPr>
          <w:rFonts w:cs="Times New Roman"/>
          <w:szCs w:val="24"/>
        </w:rPr>
        <w:t>4.8.1</w:t>
      </w:r>
      <w:r>
        <w:rPr>
          <w:rFonts w:cs="Times New Roman" w:hint="eastAsia"/>
          <w:szCs w:val="24"/>
        </w:rPr>
        <w:t>专间专用的要求。</w:t>
      </w:r>
    </w:p>
    <w:p w14:paraId="7A67C822" w14:textId="77777777" w:rsidR="00D4394E" w:rsidRDefault="00000000">
      <w:pPr>
        <w:adjustRightInd w:val="0"/>
        <w:snapToGrid w:val="0"/>
        <w:spacing w:line="240" w:lineRule="auto"/>
        <w:ind w:firstLine="480"/>
        <w:rPr>
          <w:rFonts w:cs="Times New Roman"/>
          <w:b/>
          <w:bCs/>
          <w:szCs w:val="24"/>
        </w:rPr>
      </w:pPr>
      <w:r>
        <w:rPr>
          <w:rFonts w:cs="Times New Roman"/>
          <w:b/>
          <w:bCs/>
          <w:szCs w:val="24"/>
        </w:rPr>
        <w:t>5</w:t>
      </w:r>
      <w:r>
        <w:rPr>
          <w:rFonts w:cs="Times New Roman" w:hint="eastAsia"/>
          <w:b/>
          <w:bCs/>
          <w:szCs w:val="24"/>
        </w:rPr>
        <w:t>）</w:t>
      </w:r>
      <w:r>
        <w:rPr>
          <w:rFonts w:cs="Times New Roman"/>
          <w:b/>
          <w:bCs/>
          <w:szCs w:val="24"/>
        </w:rPr>
        <w:t xml:space="preserve">4.8.4 </w:t>
      </w:r>
      <w:r>
        <w:rPr>
          <w:rFonts w:cs="Times New Roman" w:hint="eastAsia"/>
          <w:b/>
          <w:bCs/>
          <w:szCs w:val="24"/>
        </w:rPr>
        <w:t>洗涤房间（洗衣房）要求</w:t>
      </w:r>
      <w:r>
        <w:rPr>
          <w:rFonts w:cs="Times New Roman"/>
          <w:b/>
          <w:bCs/>
          <w:szCs w:val="24"/>
        </w:rPr>
        <w:t xml:space="preserve"> c </w:t>
      </w:r>
      <w:r>
        <w:rPr>
          <w:rFonts w:cs="Times New Roman" w:hint="eastAsia"/>
          <w:b/>
          <w:bCs/>
          <w:szCs w:val="24"/>
        </w:rPr>
        <w:t>“客用自助洗衣房”的要求</w:t>
      </w:r>
    </w:p>
    <w:p w14:paraId="7A75BB3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4.8.4</w:t>
      </w:r>
      <w:r>
        <w:rPr>
          <w:rFonts w:cs="Times New Roman" w:hint="eastAsia"/>
          <w:szCs w:val="24"/>
        </w:rPr>
        <w:t xml:space="preserve"> </w:t>
      </w:r>
      <w:r>
        <w:rPr>
          <w:rFonts w:cs="Times New Roman" w:hint="eastAsia"/>
          <w:szCs w:val="24"/>
        </w:rPr>
        <w:t>洗涤房间（洗衣房）要求</w:t>
      </w:r>
    </w:p>
    <w:p w14:paraId="119CC27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c</w:t>
      </w:r>
      <w:r>
        <w:rPr>
          <w:rFonts w:cs="Times New Roman" w:hint="eastAsia"/>
          <w:szCs w:val="24"/>
        </w:rPr>
        <w:t>）客用自助洗衣房的洗涤设施应定期清洁消毒。</w:t>
      </w:r>
    </w:p>
    <w:p w14:paraId="45DC343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2BCB8F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随着社会进步和旅客需求的提升，一些连锁宾馆、招待所等为方便旅客洗衣需求，设置洗衣房或洗衣间。为适应新形势的发展和新的卫生管理要求，在本标准</w:t>
      </w:r>
      <w:r>
        <w:rPr>
          <w:rFonts w:cs="Times New Roman"/>
          <w:szCs w:val="24"/>
        </w:rPr>
        <w:t>4.8.4</w:t>
      </w:r>
      <w:r>
        <w:rPr>
          <w:rFonts w:cs="Times New Roman" w:hint="eastAsia"/>
          <w:szCs w:val="24"/>
        </w:rPr>
        <w:t>中新增“</w:t>
      </w:r>
      <w:r>
        <w:rPr>
          <w:rFonts w:cs="Times New Roman" w:hint="eastAsia"/>
          <w:szCs w:val="24"/>
        </w:rPr>
        <w:t>c</w:t>
      </w:r>
      <w:r>
        <w:rPr>
          <w:rFonts w:cs="Times New Roman" w:hint="eastAsia"/>
          <w:szCs w:val="24"/>
        </w:rPr>
        <w:t>）客用自助洗衣房的洗涤设施应定期清洁消毒”的表述。</w:t>
      </w:r>
    </w:p>
    <w:p w14:paraId="3B5A5352" w14:textId="77777777" w:rsidR="00D4394E" w:rsidRDefault="00000000">
      <w:pPr>
        <w:adjustRightInd w:val="0"/>
        <w:snapToGrid w:val="0"/>
        <w:spacing w:line="240" w:lineRule="auto"/>
        <w:ind w:firstLine="480"/>
        <w:rPr>
          <w:rFonts w:cs="Times New Roman"/>
          <w:b/>
          <w:bCs/>
          <w:szCs w:val="24"/>
        </w:rPr>
      </w:pPr>
      <w:r>
        <w:rPr>
          <w:rFonts w:cs="Times New Roman"/>
          <w:b/>
          <w:bCs/>
          <w:szCs w:val="24"/>
        </w:rPr>
        <w:t>6</w:t>
      </w:r>
      <w:r>
        <w:rPr>
          <w:rFonts w:cs="Times New Roman" w:hint="eastAsia"/>
          <w:b/>
          <w:bCs/>
          <w:szCs w:val="24"/>
        </w:rPr>
        <w:t>）</w:t>
      </w:r>
      <w:r>
        <w:rPr>
          <w:rFonts w:cs="Times New Roman"/>
          <w:b/>
          <w:bCs/>
          <w:szCs w:val="24"/>
        </w:rPr>
        <w:t xml:space="preserve">4.8.7 </w:t>
      </w:r>
      <w:r>
        <w:rPr>
          <w:rFonts w:cs="Times New Roman" w:hint="eastAsia"/>
          <w:b/>
          <w:bCs/>
          <w:szCs w:val="24"/>
        </w:rPr>
        <w:t>“消毒剂专用库房要求”的要求</w:t>
      </w:r>
    </w:p>
    <w:p w14:paraId="133B425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4.8.7 </w:t>
      </w:r>
      <w:r>
        <w:rPr>
          <w:rFonts w:cs="Times New Roman" w:hint="eastAsia"/>
          <w:szCs w:val="24"/>
        </w:rPr>
        <w:t>消毒剂专用库房要求</w:t>
      </w:r>
    </w:p>
    <w:p w14:paraId="636BC28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3812186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公共场所的消毒剂专用库房是卫生监督部门检查的重要内容，但原标准中未涉及，为加强专用库房的统一管理，在本标准</w:t>
      </w:r>
      <w:r>
        <w:rPr>
          <w:rFonts w:cs="Times New Roman" w:hint="eastAsia"/>
          <w:szCs w:val="24"/>
        </w:rPr>
        <w:t>5.1.4.7</w:t>
      </w:r>
      <w:r>
        <w:rPr>
          <w:rFonts w:cs="Times New Roman" w:hint="eastAsia"/>
          <w:szCs w:val="24"/>
        </w:rPr>
        <w:t>中新增“消毒剂专用库房要求：</w:t>
      </w:r>
      <w:r>
        <w:rPr>
          <w:rFonts w:cs="Times New Roman" w:hint="eastAsia"/>
          <w:szCs w:val="24"/>
        </w:rPr>
        <w:t>a</w:t>
      </w:r>
      <w:r>
        <w:rPr>
          <w:rFonts w:cs="Times New Roman" w:hint="eastAsia"/>
          <w:szCs w:val="24"/>
        </w:rPr>
        <w:t>）</w:t>
      </w:r>
      <w:r>
        <w:rPr>
          <w:rFonts w:hint="eastAsia"/>
        </w:rPr>
        <w:t>机械通风和事故排风设施应正常运行，人工游泳场所事故排风换气次数应符合</w:t>
      </w:r>
      <w:r>
        <w:t xml:space="preserve"> GB </w:t>
      </w:r>
      <w:r>
        <w:rPr>
          <w:rFonts w:hint="eastAsia"/>
        </w:rPr>
        <w:t>37489</w:t>
      </w:r>
      <w:r>
        <w:rPr>
          <w:rFonts w:hint="eastAsia"/>
        </w:rPr>
        <w:t>要求</w:t>
      </w:r>
      <w:r>
        <w:rPr>
          <w:rFonts w:cs="Times New Roman" w:hint="eastAsia"/>
          <w:szCs w:val="24"/>
        </w:rPr>
        <w:t>；</w:t>
      </w:r>
      <w:r>
        <w:rPr>
          <w:rFonts w:cs="Times New Roman" w:hint="eastAsia"/>
          <w:szCs w:val="24"/>
        </w:rPr>
        <w:t>b</w:t>
      </w:r>
      <w:r>
        <w:rPr>
          <w:rFonts w:cs="Times New Roman" w:hint="eastAsia"/>
          <w:szCs w:val="24"/>
        </w:rPr>
        <w:t>）不同类型消毒剂应分架存放，保持干燥、避光保存，符合各自的保存条件；</w:t>
      </w:r>
      <w:r>
        <w:rPr>
          <w:rFonts w:cs="Times New Roman" w:hint="eastAsia"/>
          <w:szCs w:val="24"/>
        </w:rPr>
        <w:t>c</w:t>
      </w:r>
      <w:r>
        <w:rPr>
          <w:rFonts w:cs="Times New Roman" w:hint="eastAsia"/>
          <w:szCs w:val="24"/>
        </w:rPr>
        <w:t>）应有防止泄露的装置和措施”的表述。在</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各标准中，只有人工游泳场所规定了事故排风换气次数要求，因此在被条款中限定了事故排风换气次数仅限于人工游泳场所。</w:t>
      </w:r>
    </w:p>
    <w:p w14:paraId="293FB23D" w14:textId="77777777" w:rsidR="00D4394E" w:rsidRDefault="00000000">
      <w:pPr>
        <w:adjustRightInd w:val="0"/>
        <w:snapToGrid w:val="0"/>
        <w:spacing w:line="240" w:lineRule="auto"/>
        <w:ind w:firstLineChars="200" w:firstLine="482"/>
        <w:rPr>
          <w:b/>
          <w:bCs/>
        </w:rPr>
      </w:pPr>
      <w:r>
        <w:rPr>
          <w:b/>
          <w:bCs/>
        </w:rPr>
        <w:t>7</w:t>
      </w:r>
      <w:r>
        <w:rPr>
          <w:rFonts w:hint="eastAsia"/>
          <w:b/>
          <w:bCs/>
        </w:rPr>
        <w:t>）</w:t>
      </w:r>
      <w:r>
        <w:rPr>
          <w:b/>
          <w:bCs/>
        </w:rPr>
        <w:t xml:space="preserve">5.1.2 </w:t>
      </w:r>
      <w:r>
        <w:rPr>
          <w:rFonts w:cs="Times New Roman" w:hint="eastAsia"/>
          <w:b/>
          <w:bCs/>
          <w:szCs w:val="24"/>
        </w:rPr>
        <w:t>公共场所经营者卫生管理责任</w:t>
      </w:r>
    </w:p>
    <w:p w14:paraId="0BA5A12F" w14:textId="77777777" w:rsidR="00D4394E" w:rsidRDefault="00000000">
      <w:pPr>
        <w:adjustRightInd w:val="0"/>
        <w:snapToGrid w:val="0"/>
        <w:spacing w:line="240" w:lineRule="auto"/>
        <w:ind w:firstLineChars="200" w:firstLine="480"/>
      </w:pPr>
      <w:r>
        <w:t xml:space="preserve">5.1.2 </w:t>
      </w:r>
      <w:r>
        <w:rPr>
          <w:rFonts w:hint="eastAsia"/>
        </w:rPr>
        <w:t>公共场所经营者应保证卫生管理全过程信息真实、准确、完整、可追溯，依法承担责任，接受社会监督。</w:t>
      </w:r>
    </w:p>
    <w:p w14:paraId="6C254570" w14:textId="77777777" w:rsidR="00D4394E" w:rsidRDefault="00000000">
      <w:pPr>
        <w:adjustRightInd w:val="0"/>
        <w:snapToGrid w:val="0"/>
        <w:spacing w:line="240" w:lineRule="auto"/>
        <w:ind w:firstLineChars="200" w:firstLine="480"/>
      </w:pPr>
      <w:r>
        <w:rPr>
          <w:rFonts w:hint="eastAsia"/>
        </w:rPr>
        <w:t>增加依据：</w:t>
      </w:r>
    </w:p>
    <w:p w14:paraId="6CE5D0D2" w14:textId="77777777" w:rsidR="00D4394E" w:rsidRDefault="00000000">
      <w:pPr>
        <w:adjustRightInd w:val="0"/>
        <w:snapToGrid w:val="0"/>
        <w:spacing w:line="240" w:lineRule="auto"/>
        <w:ind w:firstLineChars="200" w:firstLine="480"/>
      </w:pPr>
      <w:r>
        <w:rPr>
          <w:rFonts w:hint="eastAsia"/>
        </w:rPr>
        <w:t>公共场所经营者应通过公示责任人、提供标准化健康提示、并确保卫生信息真实可追溯，来全面落实其主体责任。这既便于社会监督，也能有效提升公众卫生意识，从而构建经营者自律、公众参与、政府监管相结合的公共卫生共治格局。本标准中卫生检测、卫生管理档案、公共用品用具清洗消毒过程等都需要提供相应记录，并接受社会监督。</w:t>
      </w:r>
    </w:p>
    <w:p w14:paraId="4789014C" w14:textId="77777777" w:rsidR="00D4394E" w:rsidRDefault="00000000">
      <w:pPr>
        <w:adjustRightInd w:val="0"/>
        <w:snapToGrid w:val="0"/>
        <w:spacing w:line="240" w:lineRule="auto"/>
        <w:ind w:firstLineChars="200" w:firstLine="482"/>
        <w:rPr>
          <w:b/>
          <w:bCs/>
        </w:rPr>
      </w:pPr>
      <w:r>
        <w:rPr>
          <w:b/>
          <w:bCs/>
        </w:rPr>
        <w:t>8</w:t>
      </w:r>
      <w:r>
        <w:rPr>
          <w:rFonts w:hint="eastAsia"/>
          <w:b/>
          <w:bCs/>
        </w:rPr>
        <w:t>）</w:t>
      </w:r>
      <w:r>
        <w:rPr>
          <w:b/>
          <w:bCs/>
        </w:rPr>
        <w:t xml:space="preserve">5.6.1 </w:t>
      </w:r>
      <w:r>
        <w:rPr>
          <w:rFonts w:cs="Times New Roman" w:hint="eastAsia"/>
          <w:b/>
          <w:bCs/>
          <w:szCs w:val="24"/>
        </w:rPr>
        <w:t>对于小型</w:t>
      </w:r>
      <w:r>
        <w:rPr>
          <w:rFonts w:hint="eastAsia"/>
          <w:b/>
          <w:bCs/>
        </w:rPr>
        <w:t>理发店（座椅≤</w:t>
      </w:r>
      <w:r>
        <w:rPr>
          <w:rFonts w:hint="eastAsia"/>
          <w:b/>
          <w:bCs/>
        </w:rPr>
        <w:t>5</w:t>
      </w:r>
      <w:r>
        <w:rPr>
          <w:rFonts w:hint="eastAsia"/>
          <w:b/>
          <w:bCs/>
        </w:rPr>
        <w:t>个）和公共交通工具卫生检测的要求</w:t>
      </w:r>
    </w:p>
    <w:p w14:paraId="6E03A7EF" w14:textId="77777777" w:rsidR="00D4394E" w:rsidRDefault="00000000">
      <w:pPr>
        <w:numPr>
          <w:ilvl w:val="255"/>
          <w:numId w:val="0"/>
        </w:numPr>
        <w:adjustRightInd w:val="0"/>
        <w:snapToGrid w:val="0"/>
        <w:spacing w:line="240" w:lineRule="auto"/>
        <w:ind w:firstLineChars="200" w:firstLine="480"/>
      </w:pPr>
      <w:r>
        <w:rPr>
          <w:rFonts w:cs="Times New Roman"/>
          <w:szCs w:val="24"/>
        </w:rPr>
        <w:t>5.6.1</w:t>
      </w:r>
      <w:r>
        <w:rPr>
          <w:rFonts w:cs="Times New Roman" w:hint="eastAsia"/>
          <w:szCs w:val="24"/>
        </w:rPr>
        <w:t xml:space="preserve"> </w:t>
      </w:r>
      <w:r>
        <w:rPr>
          <w:rFonts w:cs="Times New Roman" w:hint="eastAsia"/>
          <w:szCs w:val="24"/>
        </w:rPr>
        <w:t>公共场所应按照卫生法律法规、卫生标准、卫生规范的规定对场所的空气质量、微小气候、水质、采光、照明、噪声、公共用品用具和集中空调通风系统等进行卫生检测。除小型理发店（</w:t>
      </w:r>
      <w:r>
        <w:rPr>
          <w:rFonts w:cs="Times New Roman" w:hint="eastAsia"/>
          <w:szCs w:val="24"/>
        </w:rPr>
        <w:t>5</w:t>
      </w:r>
      <w:r>
        <w:rPr>
          <w:rFonts w:cs="Times New Roman" w:hint="eastAsia"/>
          <w:szCs w:val="24"/>
        </w:rPr>
        <w:t>个及以下座椅）、公共交通工具外，公共场所每年卫生检测不少于一次。</w:t>
      </w:r>
    </w:p>
    <w:p w14:paraId="1D4E682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63FF2CA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《公共场所卫生管理条例》规定公共场所空气、微小气候、水质、采光、照明、噪声等应符合国家卫生标准和要求。研究表明空气质量、微小气候、噪声对从业人员过敏性鼻炎、心理状况（抑郁等）有健康影响（</w:t>
      </w:r>
      <w:bookmarkStart w:id="151" w:name="OLE_LINK1"/>
      <w:r>
        <w:rPr>
          <w:rFonts w:cs="Times New Roman"/>
          <w:szCs w:val="24"/>
        </w:rPr>
        <w:t>Construction of a nomogram for predicting the risk of allergic rhinitis among employees of long-distance bus stations in China</w:t>
      </w:r>
      <w:r>
        <w:rPr>
          <w:rFonts w:cs="Times New Roman" w:hint="eastAsia"/>
          <w:szCs w:val="24"/>
        </w:rPr>
        <w:t>,</w:t>
      </w:r>
      <w:r>
        <w:rPr>
          <w:rFonts w:cs="Times New Roman"/>
          <w:szCs w:val="24"/>
        </w:rPr>
        <w:t xml:space="preserve"> Indoor Air, 2020</w:t>
      </w:r>
      <w:r>
        <w:rPr>
          <w:rFonts w:cs="Times New Roman" w:hint="eastAsia"/>
          <w:szCs w:val="24"/>
        </w:rPr>
        <w:t>；</w:t>
      </w:r>
      <w:bookmarkStart w:id="152" w:name="OLE_LINK22"/>
      <w:bookmarkStart w:id="153" w:name="OLE_LINK21"/>
      <w:r>
        <w:rPr>
          <w:rFonts w:cs="Times New Roman" w:hint="eastAsia"/>
          <w:szCs w:val="24"/>
        </w:rPr>
        <w:t>The relationship between indoor airborne culturable bacteria with passenger flow in 132 traffic stations during</w:t>
      </w:r>
      <w:bookmarkEnd w:id="152"/>
      <w:bookmarkEnd w:id="153"/>
      <w:r>
        <w:rPr>
          <w:rFonts w:cs="Times New Roman" w:hint="eastAsia"/>
          <w:szCs w:val="24"/>
        </w:rPr>
        <w:t xml:space="preserve"> 2019</w:t>
      </w:r>
      <w:r>
        <w:rPr>
          <w:rFonts w:cs="Times New Roman" w:hint="eastAsia"/>
          <w:szCs w:val="24"/>
        </w:rPr>
        <w:t>–</w:t>
      </w:r>
      <w:r>
        <w:rPr>
          <w:rFonts w:cs="Times New Roman" w:hint="eastAsia"/>
          <w:szCs w:val="24"/>
        </w:rPr>
        <w:t>2020, China,</w:t>
      </w:r>
      <w:r>
        <w:rPr>
          <w:rFonts w:cs="Times New Roman"/>
          <w:szCs w:val="24"/>
        </w:rPr>
        <w:t xml:space="preserve"> Journal of Environmental Management, 202</w:t>
      </w:r>
      <w:bookmarkEnd w:id="151"/>
      <w:r>
        <w:rPr>
          <w:rFonts w:cs="Times New Roman"/>
          <w:szCs w:val="24"/>
        </w:rPr>
        <w:t>5</w:t>
      </w:r>
      <w:r>
        <w:rPr>
          <w:rFonts w:cs="Times New Roman" w:hint="eastAsia"/>
          <w:szCs w:val="24"/>
        </w:rPr>
        <w:t>）。因此本标准要求公共场所应对环境健康因</w:t>
      </w:r>
      <w:r>
        <w:rPr>
          <w:rFonts w:cs="Times New Roman" w:hint="eastAsia"/>
          <w:szCs w:val="24"/>
        </w:rPr>
        <w:lastRenderedPageBreak/>
        <w:t>素进行卫生检测。开展卫生检测，可识别公共场所危害因素，综合评估公共场所环境健康风险，确保场所内人员的环境健康（</w:t>
      </w:r>
      <w:bookmarkStart w:id="154" w:name="OLE_LINK16"/>
      <w:bookmarkStart w:id="155" w:name="OLE_LINK17"/>
      <w:r>
        <w:rPr>
          <w:rFonts w:cs="Times New Roman" w:hint="eastAsia"/>
          <w:szCs w:val="24"/>
        </w:rPr>
        <w:t>识别公共场所危害因素，促进人群健康风险控制</w:t>
      </w:r>
      <w:bookmarkEnd w:id="154"/>
      <w:bookmarkEnd w:id="155"/>
      <w:r>
        <w:rPr>
          <w:rFonts w:cs="Times New Roman" w:hint="eastAsia"/>
          <w:szCs w:val="24"/>
        </w:rPr>
        <w:t>,</w:t>
      </w:r>
      <w:r>
        <w:rPr>
          <w:rFonts w:cs="Times New Roman"/>
          <w:szCs w:val="24"/>
        </w:rPr>
        <w:t xml:space="preserve"> </w:t>
      </w:r>
      <w:r>
        <w:rPr>
          <w:rFonts w:cs="Times New Roman" w:hint="eastAsia"/>
          <w:szCs w:val="24"/>
        </w:rPr>
        <w:t>环境卫生学杂志，</w:t>
      </w:r>
      <w:r>
        <w:rPr>
          <w:rFonts w:cs="Times New Roman"/>
          <w:szCs w:val="24"/>
        </w:rPr>
        <w:t>2023</w:t>
      </w:r>
      <w:r>
        <w:rPr>
          <w:rFonts w:cs="Times New Roman" w:hint="eastAsia"/>
          <w:szCs w:val="24"/>
        </w:rPr>
        <w:t>）。</w:t>
      </w:r>
    </w:p>
    <w:p w14:paraId="4F603C1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征求意见反馈理发店数量占比大，但突发公共卫生事件发生极少，多为针对毛巾、空气的个体投诉，近年来产生多起因理发店卫生检测引发的舆情。目前中国理发店的规模以中小型门店为主流，超过</w:t>
      </w:r>
      <w:r>
        <w:rPr>
          <w:rFonts w:cs="Times New Roman" w:hint="eastAsia"/>
          <w:szCs w:val="24"/>
        </w:rPr>
        <w:t>65%</w:t>
      </w:r>
      <w:r>
        <w:rPr>
          <w:rFonts w:cs="Times New Roman" w:hint="eastAsia"/>
          <w:szCs w:val="24"/>
        </w:rPr>
        <w:t>的理发店面积小于</w:t>
      </w:r>
      <w:r>
        <w:rPr>
          <w:rFonts w:cs="Times New Roman" w:hint="eastAsia"/>
          <w:szCs w:val="24"/>
        </w:rPr>
        <w:t>50</w:t>
      </w:r>
      <w:r>
        <w:t>m</w:t>
      </w:r>
      <w:r>
        <w:rPr>
          <w:vertAlign w:val="superscript"/>
        </w:rPr>
        <w:t>2</w:t>
      </w:r>
      <w:r>
        <w:rPr>
          <w:rFonts w:hint="eastAsia"/>
        </w:rPr>
        <w:t>或座椅≤</w:t>
      </w:r>
      <w:r>
        <w:rPr>
          <w:rFonts w:hint="eastAsia"/>
        </w:rPr>
        <w:t>5</w:t>
      </w:r>
      <w:r>
        <w:rPr>
          <w:rFonts w:hint="eastAsia"/>
        </w:rPr>
        <w:t>个；</w:t>
      </w:r>
      <w:r>
        <w:rPr>
          <w:rFonts w:cs="Times New Roman" w:hint="eastAsia"/>
          <w:szCs w:val="24"/>
        </w:rPr>
        <w:t>接近四分之一理发店面积在</w:t>
      </w:r>
      <w:r>
        <w:rPr>
          <w:rFonts w:cs="Times New Roman" w:hint="eastAsia"/>
          <w:szCs w:val="24"/>
        </w:rPr>
        <w:t>50-100</w:t>
      </w:r>
      <w:r>
        <w:t>m</w:t>
      </w:r>
      <w:r>
        <w:rPr>
          <w:vertAlign w:val="superscript"/>
        </w:rPr>
        <w:t>2</w:t>
      </w:r>
      <w:r>
        <w:rPr>
          <w:rFonts w:cs="Times New Roman" w:hint="eastAsia"/>
          <w:szCs w:val="24"/>
        </w:rPr>
        <w:t>之间，超过</w:t>
      </w:r>
      <w:r>
        <w:rPr>
          <w:rFonts w:cs="Times New Roman" w:hint="eastAsia"/>
          <w:szCs w:val="24"/>
        </w:rPr>
        <w:t>100</w:t>
      </w:r>
      <w:r>
        <w:t>m</w:t>
      </w:r>
      <w:r>
        <w:rPr>
          <w:vertAlign w:val="superscript"/>
        </w:rPr>
        <w:t>2</w:t>
      </w:r>
      <w:r>
        <w:rPr>
          <w:rFonts w:cs="Times New Roman" w:hint="eastAsia"/>
          <w:szCs w:val="24"/>
        </w:rPr>
        <w:t>的店铺约占</w:t>
      </w:r>
      <w:r>
        <w:rPr>
          <w:rFonts w:cs="Times New Roman" w:hint="eastAsia"/>
          <w:szCs w:val="24"/>
        </w:rPr>
        <w:t>10.84%</w:t>
      </w:r>
      <w:r>
        <w:rPr>
          <w:rFonts w:cs="Times New Roman" w:hint="eastAsia"/>
          <w:szCs w:val="24"/>
        </w:rPr>
        <w:t>。经过调研，</w:t>
      </w:r>
      <w:r>
        <w:rPr>
          <w:rFonts w:cs="Times New Roman" w:hint="eastAsia"/>
          <w:szCs w:val="24"/>
        </w:rPr>
        <w:t>100m</w:t>
      </w:r>
      <w:r>
        <w:rPr>
          <w:rFonts w:cs="Times New Roman"/>
          <w:szCs w:val="24"/>
          <w:vertAlign w:val="superscript"/>
        </w:rPr>
        <w:t>2</w:t>
      </w:r>
      <w:r>
        <w:rPr>
          <w:rFonts w:cs="Times New Roman" w:hint="eastAsia"/>
          <w:szCs w:val="24"/>
        </w:rPr>
        <w:t>及以下理发店座位数多为</w:t>
      </w:r>
      <w:r>
        <w:rPr>
          <w:rFonts w:cs="Times New Roman" w:hint="eastAsia"/>
          <w:szCs w:val="24"/>
        </w:rPr>
        <w:t>5</w:t>
      </w:r>
      <w:r>
        <w:rPr>
          <w:rFonts w:cs="Times New Roman" w:hint="eastAsia"/>
          <w:szCs w:val="24"/>
        </w:rPr>
        <w:t>个及以下，为方便现场监管，将小型理发店设定为</w:t>
      </w:r>
      <w:r>
        <w:rPr>
          <w:rFonts w:cs="Times New Roman" w:hint="eastAsia"/>
          <w:szCs w:val="24"/>
        </w:rPr>
        <w:t>5</w:t>
      </w:r>
      <w:r>
        <w:rPr>
          <w:rFonts w:cs="Times New Roman" w:hint="eastAsia"/>
          <w:szCs w:val="24"/>
        </w:rPr>
        <w:t>个及以下</w:t>
      </w:r>
      <w:r>
        <w:rPr>
          <w:rFonts w:hint="eastAsia"/>
        </w:rPr>
        <w:t>座椅的理发店，</w:t>
      </w:r>
      <w:r>
        <w:rPr>
          <w:rFonts w:cs="Times New Roman" w:hint="eastAsia"/>
          <w:szCs w:val="24"/>
        </w:rPr>
        <w:t>卫生检测要求降低，纳入丙类场所卫生要求实施日常卫生管理，在开业时和装修后检测即可。</w:t>
      </w:r>
    </w:p>
    <w:p w14:paraId="39EDEDC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地铁、城轨、动车及普通列车等公共交通工具为密闭环境且人群密集，呼吸道传染病传播的公共卫生风险较高，因此将公共交通工具列为甲类公共场所卫生要求进行管理。但是考虑到公共交通工具的特殊性，不做强制每年检测和日常检测的要求，按实际需求开展即可，卫生检测指标及限值按</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p>
    <w:p w14:paraId="77C81108" w14:textId="77777777" w:rsidR="00D4394E" w:rsidRDefault="00000000">
      <w:pPr>
        <w:adjustRightInd w:val="0"/>
        <w:snapToGrid w:val="0"/>
        <w:spacing w:line="240" w:lineRule="auto"/>
        <w:ind w:firstLine="480"/>
        <w:rPr>
          <w:rFonts w:cs="Times New Roman"/>
          <w:b/>
          <w:bCs/>
          <w:szCs w:val="24"/>
        </w:rPr>
      </w:pPr>
      <w:r>
        <w:rPr>
          <w:rFonts w:cs="Times New Roman"/>
          <w:b/>
          <w:bCs/>
          <w:szCs w:val="24"/>
        </w:rPr>
        <w:t>9</w:t>
      </w:r>
      <w:r>
        <w:rPr>
          <w:rFonts w:cs="Times New Roman" w:hint="eastAsia"/>
          <w:b/>
          <w:bCs/>
          <w:szCs w:val="24"/>
        </w:rPr>
        <w:t>）</w:t>
      </w:r>
      <w:r>
        <w:rPr>
          <w:rFonts w:cs="Times New Roman"/>
          <w:b/>
          <w:bCs/>
          <w:szCs w:val="24"/>
        </w:rPr>
        <w:t xml:space="preserve">5.6.2 </w:t>
      </w:r>
      <w:r>
        <w:rPr>
          <w:rFonts w:cs="Times New Roman" w:hint="eastAsia"/>
          <w:b/>
          <w:bCs/>
          <w:szCs w:val="24"/>
        </w:rPr>
        <w:t>“开业前和装修后卫生检测的要求”。</w:t>
      </w:r>
    </w:p>
    <w:p w14:paraId="51425804"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5.6.2 </w:t>
      </w:r>
      <w:r>
        <w:rPr>
          <w:rFonts w:cs="Times New Roman" w:hint="eastAsia"/>
          <w:szCs w:val="24"/>
        </w:rPr>
        <w:t>除公共交通工具外，公共场所应在开业前和装修后开展卫生检测。</w:t>
      </w:r>
    </w:p>
    <w:p w14:paraId="793771E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5F18E28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依据《公共场所卫生管理条例实施细则》第十九条、第二十三条规定，公共场所经营者申请卫生许可证时，必须提交公共场所卫生检测报告或评价报告；第十七条</w:t>
      </w:r>
      <w:r>
        <w:rPr>
          <w:rFonts w:cs="Times New Roman"/>
          <w:szCs w:val="24"/>
        </w:rPr>
        <w:t xml:space="preserve"> </w:t>
      </w:r>
      <w:r>
        <w:rPr>
          <w:rFonts w:cs="Times New Roman" w:hint="eastAsia"/>
          <w:szCs w:val="24"/>
        </w:rPr>
        <w:t>公共场所进行新建、改建、扩建的，应当符合卫生标准和要求，并办理预防性卫生审查手续，确保装修设计、材料等从源头符合卫生标准。《天津市公共场所室内空气质量管理规定》明确要求，装饰装修后的校舍、幼儿园在使用前必须委托专业机构进行检测，并将结果公示，检测不合格的严禁使用。而由于公共交通工具的流动性和特殊性，对公共交通工具进行降级要求，体现了本修订“分类管理、差异要求”的修订思路。不对公共交通工具实施此项要求。</w:t>
      </w:r>
    </w:p>
    <w:p w14:paraId="58B7904A" w14:textId="77777777" w:rsidR="00D4394E" w:rsidRDefault="00000000">
      <w:pPr>
        <w:adjustRightInd w:val="0"/>
        <w:snapToGrid w:val="0"/>
        <w:spacing w:line="240" w:lineRule="auto"/>
        <w:ind w:firstLine="480"/>
        <w:rPr>
          <w:rFonts w:cs="Times New Roman"/>
          <w:b/>
          <w:bCs/>
          <w:szCs w:val="24"/>
        </w:rPr>
      </w:pPr>
      <w:r>
        <w:rPr>
          <w:rFonts w:cs="Times New Roman" w:hint="eastAsia"/>
          <w:b/>
          <w:bCs/>
          <w:szCs w:val="24"/>
        </w:rPr>
        <w:t>10</w:t>
      </w:r>
      <w:r>
        <w:rPr>
          <w:rFonts w:cs="Times New Roman" w:hint="eastAsia"/>
          <w:b/>
          <w:bCs/>
          <w:szCs w:val="24"/>
        </w:rPr>
        <w:t>）</w:t>
      </w:r>
      <w:r>
        <w:rPr>
          <w:rFonts w:cs="Times New Roman"/>
          <w:b/>
          <w:bCs/>
          <w:szCs w:val="24"/>
        </w:rPr>
        <w:t xml:space="preserve">5.6.4 </w:t>
      </w:r>
      <w:r>
        <w:rPr>
          <w:rFonts w:cs="Times New Roman" w:hint="eastAsia"/>
          <w:b/>
          <w:bCs/>
          <w:szCs w:val="24"/>
        </w:rPr>
        <w:t>“人工游泳场公示指标检测结果”的要求</w:t>
      </w:r>
    </w:p>
    <w:p w14:paraId="15273DA7"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5.6.4</w:t>
      </w:r>
      <w:r>
        <w:rPr>
          <w:rFonts w:cs="Times New Roman" w:hint="eastAsia"/>
          <w:szCs w:val="24"/>
        </w:rPr>
        <w:t>人工游泳场所每场开放前、运行时应对池水余氯、</w:t>
      </w:r>
      <w:r>
        <w:rPr>
          <w:rFonts w:cs="Times New Roman" w:hint="eastAsia"/>
          <w:szCs w:val="24"/>
        </w:rPr>
        <w:t>pH</w:t>
      </w:r>
      <w:r>
        <w:rPr>
          <w:rFonts w:cs="Times New Roman" w:hint="eastAsia"/>
          <w:szCs w:val="24"/>
        </w:rPr>
        <w:t>、水温等进行检测，公示检测结果并注明具体测定时间。</w:t>
      </w:r>
    </w:p>
    <w:p w14:paraId="1D74F02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2A2EFD9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根据原卫生部、国家体育总局</w:t>
      </w:r>
      <w:r>
        <w:rPr>
          <w:rFonts w:cs="Times New Roman" w:hint="eastAsia"/>
          <w:szCs w:val="24"/>
        </w:rPr>
        <w:t>2007</w:t>
      </w:r>
      <w:r>
        <w:rPr>
          <w:rFonts w:cs="Times New Roman" w:hint="eastAsia"/>
          <w:szCs w:val="24"/>
        </w:rPr>
        <w:t>年</w:t>
      </w:r>
      <w:r>
        <w:rPr>
          <w:rFonts w:cs="Times New Roman" w:hint="eastAsia"/>
          <w:szCs w:val="24"/>
        </w:rPr>
        <w:t>6</w:t>
      </w:r>
      <w:r>
        <w:rPr>
          <w:rFonts w:cs="Times New Roman" w:hint="eastAsia"/>
          <w:szCs w:val="24"/>
        </w:rPr>
        <w:t>月印发的《游泳场所卫生规范》第二十条第三款，“人工游泳场所…，每场开放前、开放时均应进行池水余氯、</w:t>
      </w:r>
      <w:r>
        <w:rPr>
          <w:rFonts w:cs="Times New Roman" w:hint="eastAsia"/>
          <w:szCs w:val="24"/>
        </w:rPr>
        <w:t>pH</w:t>
      </w:r>
      <w:r>
        <w:rPr>
          <w:rFonts w:cs="Times New Roman"/>
          <w:szCs w:val="24"/>
        </w:rPr>
        <w:t xml:space="preserve"> </w:t>
      </w:r>
      <w:r>
        <w:rPr>
          <w:rFonts w:cs="Times New Roman" w:hint="eastAsia"/>
          <w:szCs w:val="24"/>
        </w:rPr>
        <w:t>值、温度等检测，检测结果应公示并注明测定时间，且记录备查，检测结果应每月上报卫生监督部门”的要求，在本标准中增加“</w:t>
      </w:r>
      <w:r>
        <w:rPr>
          <w:rFonts w:cs="Times New Roman" w:hint="eastAsia"/>
          <w:szCs w:val="24"/>
        </w:rPr>
        <w:t>5.2.3.2</w:t>
      </w:r>
      <w:r>
        <w:rPr>
          <w:rFonts w:hint="eastAsia"/>
        </w:rPr>
        <w:t>人工游泳场所每场开放前、运行时应对池水余氯、</w:t>
      </w:r>
      <w:r>
        <w:rPr>
          <w:rFonts w:hint="eastAsia"/>
        </w:rPr>
        <w:t>pH</w:t>
      </w:r>
      <w:r>
        <w:rPr>
          <w:rFonts w:hint="eastAsia"/>
        </w:rPr>
        <w:t>、水温等进行检测，公示检测结果并注明具体测定时间。</w:t>
      </w:r>
      <w:r>
        <w:rPr>
          <w:rFonts w:cs="Times New Roman" w:hint="eastAsia"/>
          <w:szCs w:val="24"/>
        </w:rPr>
        <w:t>”条款。</w:t>
      </w:r>
    </w:p>
    <w:p w14:paraId="67C42EE6" w14:textId="77777777" w:rsidR="00D4394E" w:rsidRDefault="00000000">
      <w:pPr>
        <w:adjustRightInd w:val="0"/>
        <w:snapToGrid w:val="0"/>
        <w:spacing w:line="240" w:lineRule="auto"/>
        <w:ind w:firstLineChars="200" w:firstLine="482"/>
        <w:rPr>
          <w:rFonts w:cs="Times New Roman"/>
          <w:b/>
          <w:bCs/>
          <w:szCs w:val="24"/>
        </w:rPr>
      </w:pPr>
      <w:r>
        <w:rPr>
          <w:rFonts w:hint="eastAsia"/>
          <w:b/>
          <w:bCs/>
        </w:rPr>
        <w:t>11</w:t>
      </w:r>
      <w:r>
        <w:rPr>
          <w:rFonts w:hint="eastAsia"/>
          <w:b/>
          <w:bCs/>
        </w:rPr>
        <w:t>）</w:t>
      </w:r>
      <w:r>
        <w:rPr>
          <w:rFonts w:cs="Times New Roman"/>
          <w:b/>
          <w:bCs/>
          <w:szCs w:val="24"/>
        </w:rPr>
        <w:t xml:space="preserve">5.7 </w:t>
      </w:r>
      <w:r>
        <w:rPr>
          <w:rFonts w:cs="Times New Roman" w:hint="eastAsia"/>
          <w:b/>
          <w:bCs/>
          <w:szCs w:val="24"/>
        </w:rPr>
        <w:t>其他要求</w:t>
      </w:r>
      <w:r>
        <w:rPr>
          <w:rFonts w:cs="Times New Roman"/>
          <w:b/>
          <w:bCs/>
          <w:szCs w:val="24"/>
        </w:rPr>
        <w:t xml:space="preserve"> 5.7.1</w:t>
      </w:r>
    </w:p>
    <w:p w14:paraId="6C48169A"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5.7.1 </w:t>
      </w:r>
      <w:r>
        <w:rPr>
          <w:rFonts w:hint="eastAsia"/>
        </w:rPr>
        <w:t>公共场所经营者应强化自律、诚信经营，努力建设有利于健康的公共场所环境。</w:t>
      </w:r>
    </w:p>
    <w:p w14:paraId="2498051D" w14:textId="77777777" w:rsidR="00D4394E" w:rsidRDefault="00000000">
      <w:pPr>
        <w:adjustRightInd w:val="0"/>
        <w:snapToGrid w:val="0"/>
        <w:spacing w:line="240" w:lineRule="auto"/>
        <w:ind w:firstLineChars="200" w:firstLine="480"/>
      </w:pPr>
      <w:r>
        <w:rPr>
          <w:rFonts w:cs="Times New Roman" w:hint="eastAsia"/>
          <w:szCs w:val="24"/>
        </w:rPr>
        <w:t>增加</w:t>
      </w:r>
      <w:r>
        <w:rPr>
          <w:rFonts w:hint="eastAsia"/>
        </w:rPr>
        <w:t>依据：</w:t>
      </w:r>
    </w:p>
    <w:p w14:paraId="7708E40D" w14:textId="77777777" w:rsidR="00D4394E" w:rsidRDefault="00000000">
      <w:pPr>
        <w:adjustRightInd w:val="0"/>
        <w:snapToGrid w:val="0"/>
        <w:spacing w:line="240" w:lineRule="auto"/>
        <w:ind w:firstLineChars="200" w:firstLine="480"/>
      </w:pPr>
      <w:r>
        <w:rPr>
          <w:rFonts w:hint="eastAsia"/>
        </w:rPr>
        <w:t>国务院关于实施健康中国行动的意见（国发</w:t>
      </w:r>
      <w:r>
        <w:rPr>
          <w:rFonts w:hint="eastAsia"/>
        </w:rPr>
        <w:t>[2019]13</w:t>
      </w:r>
      <w:r>
        <w:rPr>
          <w:rFonts w:hint="eastAsia"/>
        </w:rPr>
        <w:t>号）</w:t>
      </w:r>
      <w:r>
        <w:rPr>
          <w:rFonts w:hint="eastAsia"/>
        </w:rPr>
        <w:t>5.</w:t>
      </w:r>
      <w:r>
        <w:rPr>
          <w:rFonts w:hint="eastAsia"/>
        </w:rPr>
        <w:t>针对不同人群，编制环境与健康手册，宣传和普及环境与健康基本理念、基本知识和基本技能，分类制定发布环境污染防护指南、公共场所和室内健康环境指南。重视营造有利于健康的公共场所环境。</w:t>
      </w:r>
    </w:p>
    <w:p w14:paraId="2B21C19B" w14:textId="77777777" w:rsidR="00D4394E" w:rsidRDefault="00000000">
      <w:pPr>
        <w:adjustRightInd w:val="0"/>
        <w:snapToGrid w:val="0"/>
        <w:spacing w:line="240" w:lineRule="auto"/>
        <w:ind w:firstLineChars="200" w:firstLine="482"/>
        <w:rPr>
          <w:b/>
          <w:bCs/>
        </w:rPr>
      </w:pPr>
      <w:r>
        <w:rPr>
          <w:rFonts w:hint="eastAsia"/>
          <w:b/>
          <w:bCs/>
        </w:rPr>
        <w:t>12</w:t>
      </w:r>
      <w:r>
        <w:rPr>
          <w:rFonts w:hint="eastAsia"/>
          <w:b/>
          <w:bCs/>
        </w:rPr>
        <w:t>）</w:t>
      </w:r>
      <w:r>
        <w:rPr>
          <w:b/>
          <w:bCs/>
        </w:rPr>
        <w:t xml:space="preserve">5.7 </w:t>
      </w:r>
      <w:r>
        <w:rPr>
          <w:rFonts w:hint="eastAsia"/>
          <w:b/>
          <w:bCs/>
        </w:rPr>
        <w:t>其他要求</w:t>
      </w:r>
      <w:r>
        <w:rPr>
          <w:b/>
          <w:bCs/>
        </w:rPr>
        <w:t xml:space="preserve"> 5.7.2 </w:t>
      </w:r>
    </w:p>
    <w:p w14:paraId="490D2CF4" w14:textId="77777777" w:rsidR="00D4394E" w:rsidRDefault="00000000">
      <w:pPr>
        <w:adjustRightInd w:val="0"/>
        <w:snapToGrid w:val="0"/>
        <w:spacing w:line="240" w:lineRule="auto"/>
        <w:ind w:firstLineChars="200" w:firstLine="480"/>
      </w:pPr>
      <w:r>
        <w:lastRenderedPageBreak/>
        <w:t xml:space="preserve">5.7.2 </w:t>
      </w:r>
      <w:r>
        <w:rPr>
          <w:rFonts w:hint="eastAsia"/>
        </w:rPr>
        <w:t>公共场所经营者应做好健康教育与卫生风险提示工作，以标准化健康标识为基础，在场所内张贴健康科普知识、宣传画等，引导消费者参与场所卫生监督管理。</w:t>
      </w:r>
    </w:p>
    <w:p w14:paraId="198257B9" w14:textId="77777777" w:rsidR="00D4394E" w:rsidRDefault="00000000">
      <w:pPr>
        <w:adjustRightInd w:val="0"/>
        <w:snapToGrid w:val="0"/>
        <w:spacing w:line="240" w:lineRule="auto"/>
        <w:ind w:firstLineChars="200" w:firstLine="480"/>
      </w:pPr>
      <w:r>
        <w:rPr>
          <w:rFonts w:hint="eastAsia"/>
        </w:rPr>
        <w:t>公共场所具有人员密集、流动性大的特点，是开展健康教育和卫生风险提示的关键阵地。通过标准化的健康标识和科普宣传，可以有效提升公众的卫生安全意识，帮助其掌握必要的防护知识，从而预防传染病的传播，并引导公众共同维护良好的公共场所卫生环境，是投入少、收益大的社会健康工程</w:t>
      </w:r>
    </w:p>
    <w:p w14:paraId="386C07D5" w14:textId="77777777" w:rsidR="00D4394E" w:rsidRDefault="00000000">
      <w:pPr>
        <w:adjustRightInd w:val="0"/>
        <w:snapToGrid w:val="0"/>
        <w:spacing w:line="240" w:lineRule="auto"/>
        <w:ind w:firstLineChars="200" w:firstLine="482"/>
        <w:rPr>
          <w:b/>
          <w:bCs/>
        </w:rPr>
      </w:pPr>
      <w:r>
        <w:rPr>
          <w:b/>
          <w:bCs/>
        </w:rPr>
        <w:t>13</w:t>
      </w:r>
      <w:r>
        <w:rPr>
          <w:rFonts w:hint="eastAsia"/>
          <w:b/>
          <w:bCs/>
        </w:rPr>
        <w:t>）</w:t>
      </w:r>
      <w:r>
        <w:rPr>
          <w:b/>
          <w:bCs/>
        </w:rPr>
        <w:t xml:space="preserve">5.7 </w:t>
      </w:r>
      <w:r>
        <w:rPr>
          <w:rFonts w:hint="eastAsia"/>
          <w:b/>
          <w:bCs/>
        </w:rPr>
        <w:t>其他要求</w:t>
      </w:r>
      <w:r>
        <w:rPr>
          <w:b/>
          <w:bCs/>
        </w:rPr>
        <w:t xml:space="preserve"> 5.7.3 </w:t>
      </w:r>
    </w:p>
    <w:p w14:paraId="237555FD" w14:textId="77777777" w:rsidR="00D4394E" w:rsidRDefault="00000000">
      <w:pPr>
        <w:adjustRightInd w:val="0"/>
        <w:snapToGrid w:val="0"/>
        <w:spacing w:line="240" w:lineRule="auto"/>
        <w:ind w:firstLineChars="200" w:firstLine="480"/>
      </w:pPr>
      <w:r>
        <w:t xml:space="preserve">5.7.3 </w:t>
      </w:r>
      <w:r>
        <w:rPr>
          <w:rFonts w:hint="eastAsia"/>
        </w:rPr>
        <w:t>公共场所经营者在条件许可时应考虑采用国家规定的快速检测方法和信息化技术开展快速检测和在线监测，及时通风改善室内空气质量，快速检测设备和在线监测设备应定期进行检定和校准。</w:t>
      </w:r>
    </w:p>
    <w:p w14:paraId="67709C0E" w14:textId="77777777" w:rsidR="00D4394E" w:rsidRDefault="00000000">
      <w:pPr>
        <w:adjustRightInd w:val="0"/>
        <w:snapToGrid w:val="0"/>
        <w:spacing w:line="240" w:lineRule="auto"/>
        <w:ind w:firstLineChars="200" w:firstLine="480"/>
      </w:pPr>
      <w:r>
        <w:rPr>
          <w:rFonts w:cs="Times New Roman" w:hint="eastAsia"/>
          <w:szCs w:val="24"/>
        </w:rPr>
        <w:t>国家积极倡导新技术、新方法应用，特别是在线监测和智慧监管方面，一些发达省市积极探索应用，摸索了好的经验做法，取得了较好的成效，弥补了传统单一管理技术的局限性。</w:t>
      </w:r>
      <w:r>
        <w:rPr>
          <w:rFonts w:hint="eastAsia"/>
        </w:rPr>
        <w:t>依据《“十三五”全国卫生计生监督工作规划》（国卫监督发</w:t>
      </w:r>
      <w:r>
        <w:rPr>
          <w:rFonts w:hint="eastAsia"/>
        </w:rPr>
        <w:t>[2017]4</w:t>
      </w:r>
      <w:r>
        <w:rPr>
          <w:rFonts w:hint="eastAsia"/>
        </w:rPr>
        <w:t>号）中明确指出：加强现场快速检测技术应用，完善现场快速检测质量管理体系，规范设备管理和使用。健全现场快速检测方法标准。为保证在线监测设备数据的可靠性，要求应定期进行检定和校准。</w:t>
      </w:r>
    </w:p>
    <w:p w14:paraId="661FBA6C" w14:textId="77777777" w:rsidR="00D4394E" w:rsidRDefault="00000000">
      <w:pPr>
        <w:adjustRightInd w:val="0"/>
        <w:snapToGrid w:val="0"/>
        <w:spacing w:line="240" w:lineRule="auto"/>
        <w:ind w:firstLineChars="200" w:firstLine="482"/>
      </w:pPr>
      <w:r>
        <w:rPr>
          <w:b/>
          <w:bCs/>
        </w:rPr>
        <w:t>14</w:t>
      </w:r>
      <w:r>
        <w:rPr>
          <w:rFonts w:hint="eastAsia"/>
          <w:b/>
          <w:bCs/>
        </w:rPr>
        <w:t>）</w:t>
      </w:r>
      <w:r>
        <w:rPr>
          <w:b/>
          <w:bCs/>
        </w:rPr>
        <w:t xml:space="preserve">7 </w:t>
      </w:r>
      <w:r>
        <w:rPr>
          <w:rFonts w:hint="eastAsia"/>
          <w:b/>
          <w:bCs/>
        </w:rPr>
        <w:t>疫情暴发地区公共场所卫生防控要求</w:t>
      </w:r>
    </w:p>
    <w:p w14:paraId="6A3FAC4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新型冠状病毒疫情期间，国家疾病控制主管部门组织专家编写发布了《公共场所新型冠状病毒感染的肺炎卫生防护指南》《重点场所、重点机构、重点人群和特定人群新冠肺炎疫情防控技术指南》《商场、超市疫情防控技术指南》等技术文件，是公共场所传染病爆发防控的宝贵经验。本次修订将部分技术指南内容转化为标准条款，用于应对传染病疫情爆发地区公共场所的卫生防控。</w:t>
      </w:r>
    </w:p>
    <w:p w14:paraId="27C21BD5" w14:textId="77777777" w:rsidR="00D4394E" w:rsidRDefault="00000000">
      <w:pPr>
        <w:adjustRightInd w:val="0"/>
        <w:snapToGrid w:val="0"/>
        <w:spacing w:line="240" w:lineRule="auto"/>
        <w:ind w:firstLineChars="200" w:firstLine="482"/>
        <w:rPr>
          <w:b/>
          <w:bCs/>
        </w:rPr>
      </w:pPr>
      <w:r>
        <w:rPr>
          <w:rFonts w:cs="Times New Roman"/>
          <w:b/>
          <w:bCs/>
          <w:szCs w:val="24"/>
        </w:rPr>
        <w:t xml:space="preserve">7 </w:t>
      </w:r>
      <w:r>
        <w:rPr>
          <w:rFonts w:hint="eastAsia"/>
          <w:b/>
          <w:bCs/>
        </w:rPr>
        <w:t>疫情暴发地区公共场所卫生防控要求（</w:t>
      </w:r>
      <w:r>
        <w:rPr>
          <w:b/>
          <w:bCs/>
        </w:rPr>
        <w:t>7.1</w:t>
      </w:r>
      <w:r>
        <w:rPr>
          <w:rFonts w:hint="eastAsia"/>
          <w:b/>
          <w:bCs/>
        </w:rPr>
        <w:t>）</w:t>
      </w:r>
    </w:p>
    <w:p w14:paraId="5CB278A5"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7.1 </w:t>
      </w:r>
      <w:r>
        <w:rPr>
          <w:rFonts w:cs="Times New Roman" w:hint="eastAsia"/>
          <w:szCs w:val="24"/>
        </w:rPr>
        <w:t>突发传染病暴发、流行时，公共场所应做好必要的防疫物资储备，落实单位疫情防控主体责任。</w:t>
      </w:r>
    </w:p>
    <w:p w14:paraId="45CB299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1E080D1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依据《新冠肺炎疫情期间重点场所和单位卫生防护指南》（</w:t>
      </w:r>
      <w:r>
        <w:rPr>
          <w:rFonts w:cs="Times New Roman" w:hint="eastAsia"/>
          <w:szCs w:val="24"/>
        </w:rPr>
        <w:t>WS/T698-2020</w:t>
      </w:r>
      <w:r>
        <w:rPr>
          <w:rFonts w:cs="Times New Roman" w:hint="eastAsia"/>
          <w:szCs w:val="24"/>
        </w:rPr>
        <w:t>）</w:t>
      </w:r>
      <w:r>
        <w:rPr>
          <w:rFonts w:cs="Times New Roman" w:hint="eastAsia"/>
          <w:szCs w:val="24"/>
        </w:rPr>
        <w:t>5.1.1</w:t>
      </w:r>
      <w:r>
        <w:rPr>
          <w:rFonts w:cs="Times New Roman" w:hint="eastAsia"/>
          <w:szCs w:val="24"/>
        </w:rPr>
        <w:t>储备防疫物资，制定应急工作预案，设置应急处置区域，落实单位主体责任。《重点场所、重点机构、重点人群和特定人群新冠肺炎疫情防控技术指南》要求落实场所主体责任，制定应急工作预案。</w:t>
      </w:r>
    </w:p>
    <w:p w14:paraId="35EA9614" w14:textId="77777777" w:rsidR="00D4394E" w:rsidRDefault="00000000">
      <w:pPr>
        <w:adjustRightInd w:val="0"/>
        <w:snapToGrid w:val="0"/>
        <w:spacing w:line="240" w:lineRule="auto"/>
        <w:ind w:firstLineChars="200" w:firstLine="482"/>
        <w:rPr>
          <w:rFonts w:cs="Times New Roman"/>
          <w:b/>
          <w:bCs/>
          <w:szCs w:val="24"/>
        </w:rPr>
      </w:pPr>
      <w:r>
        <w:rPr>
          <w:rFonts w:cs="Times New Roman"/>
          <w:b/>
          <w:bCs/>
          <w:szCs w:val="24"/>
        </w:rPr>
        <w:t>15</w:t>
      </w:r>
      <w:r>
        <w:rPr>
          <w:rFonts w:cs="Times New Roman" w:hint="eastAsia"/>
          <w:b/>
          <w:bCs/>
          <w:szCs w:val="24"/>
        </w:rPr>
        <w:t>）</w:t>
      </w:r>
      <w:r>
        <w:rPr>
          <w:rFonts w:cs="Times New Roman"/>
          <w:b/>
          <w:bCs/>
          <w:szCs w:val="24"/>
        </w:rPr>
        <w:t xml:space="preserve">7 </w:t>
      </w:r>
      <w:r>
        <w:rPr>
          <w:rFonts w:hint="eastAsia"/>
          <w:b/>
          <w:bCs/>
        </w:rPr>
        <w:t>疫情暴发地区公共场所卫生防控要求（</w:t>
      </w:r>
      <w:r>
        <w:rPr>
          <w:b/>
          <w:bCs/>
        </w:rPr>
        <w:t>7.2</w:t>
      </w:r>
      <w:r>
        <w:rPr>
          <w:rFonts w:hint="eastAsia"/>
          <w:b/>
          <w:bCs/>
        </w:rPr>
        <w:t>）</w:t>
      </w:r>
    </w:p>
    <w:p w14:paraId="038C40A1"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7.2 </w:t>
      </w:r>
      <w:r>
        <w:rPr>
          <w:rFonts w:cs="Times New Roman" w:hint="eastAsia"/>
          <w:szCs w:val="24"/>
        </w:rPr>
        <w:t>所在地市突发传染病暴发、流行时，公共场所应限制或停止集市、文化娱乐或者其他人群聚集活动；社会生产生活必须开放的场所，加强对从业人员和顾客的健康状况监测、场所内环境预防性消毒和集中空调系统卫生管理。</w:t>
      </w:r>
    </w:p>
    <w:p w14:paraId="36981F4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04F4C8E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国务院应对新型冠状病毒感染肺炎疫情联防联控机制关于进一步做好重点场所重点单位重点人群新冠肺炎疫情防控相关工作的通知（国办发明电</w:t>
      </w:r>
      <w:r>
        <w:rPr>
          <w:rFonts w:cs="Times New Roman" w:hint="eastAsia"/>
          <w:szCs w:val="24"/>
        </w:rPr>
        <w:t>[2020]16</w:t>
      </w:r>
      <w:r>
        <w:rPr>
          <w:rFonts w:cs="Times New Roman" w:hint="eastAsia"/>
          <w:szCs w:val="24"/>
        </w:rPr>
        <w:t>号）。中、高风险地区坚持“安全、稳步”原则，原则上不组织涉及人群聚集性的活动。对于工作生活必须的场所、开放式活动场所，采取分类适度限制措施；对于娱乐、休闲等集中密闭场所，建议采取临时禁止开业措施，防范聚集性疫情风险，具体要求由各地依据本地疫情形势研究确定。中、高风险地区还应当限制人员数量，减少人群聚集，做好环境清洁消毒、人员健康监测。有研究表明，适当控制候车室等重点公共场所人流量，可有效降低候车室可培养细菌的浓度</w:t>
      </w:r>
      <w:r>
        <w:rPr>
          <w:rFonts w:cs="Times New Roman" w:hint="eastAsia"/>
          <w:szCs w:val="24"/>
        </w:rPr>
        <w:lastRenderedPageBreak/>
        <w:t>（</w:t>
      </w:r>
      <w:bookmarkStart w:id="156" w:name="OLE_LINK18"/>
      <w:bookmarkStart w:id="157" w:name="OLE_LINK19"/>
      <w:bookmarkStart w:id="158" w:name="OLE_LINK20"/>
      <w:r>
        <w:rPr>
          <w:rFonts w:cs="Times New Roman" w:hint="eastAsia"/>
          <w:szCs w:val="24"/>
        </w:rPr>
        <w:t>Association of indoor noise level with depression in hotel workers: A multicenter study from 111 China's cities</w:t>
      </w:r>
      <w:bookmarkEnd w:id="156"/>
      <w:bookmarkEnd w:id="157"/>
      <w:bookmarkEnd w:id="158"/>
      <w:r>
        <w:rPr>
          <w:rFonts w:cs="Times New Roman" w:hint="eastAsia"/>
          <w:szCs w:val="24"/>
        </w:rPr>
        <w:t>,</w:t>
      </w:r>
      <w:r>
        <w:rPr>
          <w:rFonts w:cs="Times New Roman"/>
          <w:szCs w:val="24"/>
        </w:rPr>
        <w:t xml:space="preserve"> Indoor Air, 2022</w:t>
      </w:r>
      <w:r>
        <w:rPr>
          <w:rFonts w:cs="Times New Roman" w:hint="eastAsia"/>
          <w:szCs w:val="24"/>
        </w:rPr>
        <w:t>），因此要求在传染病暴发、流行时，公共场所应限制或停止人群聚集活动。</w:t>
      </w:r>
    </w:p>
    <w:p w14:paraId="3DCB0A4C" w14:textId="77777777" w:rsidR="00D4394E" w:rsidRDefault="00000000">
      <w:pPr>
        <w:adjustRightInd w:val="0"/>
        <w:snapToGrid w:val="0"/>
        <w:spacing w:line="240" w:lineRule="auto"/>
        <w:ind w:firstLineChars="200" w:firstLine="482"/>
        <w:rPr>
          <w:rFonts w:cs="Times New Roman"/>
          <w:b/>
          <w:bCs/>
          <w:szCs w:val="24"/>
        </w:rPr>
      </w:pPr>
      <w:r>
        <w:rPr>
          <w:rFonts w:cs="Times New Roman"/>
          <w:b/>
          <w:bCs/>
          <w:szCs w:val="24"/>
        </w:rPr>
        <w:t>16</w:t>
      </w:r>
      <w:r>
        <w:rPr>
          <w:rFonts w:cs="Times New Roman" w:hint="eastAsia"/>
          <w:b/>
          <w:bCs/>
          <w:szCs w:val="24"/>
        </w:rPr>
        <w:t>）</w:t>
      </w:r>
      <w:r>
        <w:rPr>
          <w:rFonts w:cs="Times New Roman"/>
          <w:b/>
          <w:bCs/>
          <w:szCs w:val="24"/>
        </w:rPr>
        <w:t xml:space="preserve">7 </w:t>
      </w:r>
      <w:r>
        <w:rPr>
          <w:rFonts w:hint="eastAsia"/>
          <w:b/>
          <w:bCs/>
        </w:rPr>
        <w:t>疫情暴发地区公共场所卫生防控要求（</w:t>
      </w:r>
      <w:r>
        <w:rPr>
          <w:b/>
          <w:bCs/>
        </w:rPr>
        <w:t>7.3</w:t>
      </w:r>
      <w:r>
        <w:rPr>
          <w:rFonts w:hint="eastAsia"/>
          <w:b/>
          <w:bCs/>
        </w:rPr>
        <w:t>）</w:t>
      </w:r>
    </w:p>
    <w:p w14:paraId="3156E60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7.3 </w:t>
      </w:r>
      <w:r>
        <w:rPr>
          <w:rFonts w:cs="Times New Roman" w:hint="eastAsia"/>
          <w:szCs w:val="24"/>
        </w:rPr>
        <w:t>所在地市突发传染病暴发、流行时，参照</w:t>
      </w:r>
      <w:r>
        <w:rPr>
          <w:rFonts w:cs="Times New Roman" w:hint="eastAsia"/>
          <w:szCs w:val="24"/>
        </w:rPr>
        <w:t>WS</w:t>
      </w:r>
      <w:r>
        <w:rPr>
          <w:rFonts w:cs="Times New Roman"/>
          <w:szCs w:val="24"/>
        </w:rPr>
        <w:t xml:space="preserve"> </w:t>
      </w:r>
      <w:r>
        <w:rPr>
          <w:rFonts w:cs="Times New Roman" w:hint="eastAsia"/>
          <w:szCs w:val="24"/>
        </w:rPr>
        <w:t>696</w:t>
      </w:r>
      <w:r>
        <w:rPr>
          <w:rFonts w:cs="Times New Roman" w:hint="eastAsia"/>
          <w:szCs w:val="24"/>
        </w:rPr>
        <w:t>和</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执行。特殊情况需要使用集中空调通风系统的场所营业时，应以其系统最大新风量运行。</w:t>
      </w:r>
    </w:p>
    <w:p w14:paraId="6DC4051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14034B8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《新冠肺炎疫情期间办公场所和公共场所空调通风系统运行管理卫生规范》（</w:t>
      </w:r>
      <w:r>
        <w:rPr>
          <w:rFonts w:cs="Times New Roman"/>
          <w:szCs w:val="24"/>
        </w:rPr>
        <w:t>WS 696-2020</w:t>
      </w:r>
      <w:r>
        <w:rPr>
          <w:rFonts w:cs="Times New Roman" w:hint="eastAsia"/>
          <w:szCs w:val="24"/>
        </w:rPr>
        <w:t>）规定低风险地区应以最大新风量运行，并尽量关小回风。空调系统除了满足对室内环境的温、湿度控制以外</w:t>
      </w:r>
      <w:r>
        <w:rPr>
          <w:rFonts w:cs="Times New Roman" w:hint="eastAsia"/>
          <w:szCs w:val="24"/>
        </w:rPr>
        <w:t>,</w:t>
      </w:r>
      <w:r>
        <w:rPr>
          <w:rFonts w:cs="Times New Roman" w:hint="eastAsia"/>
          <w:szCs w:val="24"/>
        </w:rPr>
        <w:t>还须给环境提供足够的新风，以保证室内空气质量，可有效稀释室内病毒剂污染物浓度。对于人员流动较大或人员密集的的商场、写字楼、餐馆、学校、公共交通工具和车站等公共场所</w:t>
      </w:r>
      <w:r>
        <w:rPr>
          <w:rFonts w:cs="Times New Roman" w:hint="eastAsia"/>
          <w:szCs w:val="24"/>
        </w:rPr>
        <w:t>,</w:t>
      </w:r>
      <w:r>
        <w:rPr>
          <w:rFonts w:cs="Times New Roman" w:hint="eastAsia"/>
          <w:szCs w:val="24"/>
        </w:rPr>
        <w:t>采取最大新风量运行</w:t>
      </w:r>
      <w:r>
        <w:rPr>
          <w:rFonts w:cs="Times New Roman" w:hint="eastAsia"/>
          <w:szCs w:val="24"/>
        </w:rPr>
        <w:t>,</w:t>
      </w:r>
      <w:r>
        <w:rPr>
          <w:rFonts w:cs="Times New Roman" w:hint="eastAsia"/>
          <w:szCs w:val="24"/>
        </w:rPr>
        <w:t>同时开窗开门增加新风量。</w:t>
      </w:r>
    </w:p>
    <w:p w14:paraId="5D7602C3" w14:textId="77777777" w:rsidR="00D4394E" w:rsidRDefault="00000000">
      <w:pPr>
        <w:adjustRightInd w:val="0"/>
        <w:snapToGrid w:val="0"/>
        <w:spacing w:line="240" w:lineRule="auto"/>
        <w:ind w:firstLineChars="200" w:firstLine="482"/>
        <w:rPr>
          <w:rFonts w:cs="Times New Roman"/>
          <w:b/>
          <w:bCs/>
          <w:szCs w:val="24"/>
        </w:rPr>
      </w:pPr>
      <w:r>
        <w:rPr>
          <w:rFonts w:cs="Times New Roman"/>
          <w:b/>
          <w:bCs/>
          <w:szCs w:val="24"/>
        </w:rPr>
        <w:t>17</w:t>
      </w:r>
      <w:r>
        <w:rPr>
          <w:rFonts w:cs="Times New Roman" w:hint="eastAsia"/>
          <w:b/>
          <w:bCs/>
          <w:szCs w:val="24"/>
        </w:rPr>
        <w:t>）</w:t>
      </w:r>
      <w:r>
        <w:rPr>
          <w:rFonts w:cs="Times New Roman"/>
          <w:b/>
          <w:bCs/>
          <w:szCs w:val="24"/>
        </w:rPr>
        <w:t xml:space="preserve">7 </w:t>
      </w:r>
      <w:r>
        <w:rPr>
          <w:rFonts w:hint="eastAsia"/>
          <w:b/>
          <w:bCs/>
        </w:rPr>
        <w:t>疫情暴发地区公共场所卫生防控要求（</w:t>
      </w:r>
      <w:r>
        <w:rPr>
          <w:b/>
          <w:bCs/>
        </w:rPr>
        <w:t>7.4</w:t>
      </w:r>
      <w:r>
        <w:rPr>
          <w:rFonts w:hint="eastAsia"/>
          <w:b/>
          <w:bCs/>
        </w:rPr>
        <w:t>）</w:t>
      </w:r>
    </w:p>
    <w:p w14:paraId="1354E8EE"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7.4 </w:t>
      </w:r>
      <w:r>
        <w:rPr>
          <w:rFonts w:cs="Times New Roman" w:hint="eastAsia"/>
          <w:szCs w:val="24"/>
        </w:rPr>
        <w:t>所在地市突发传染病暴发、流行时，公共场所应在卫生间公共区域配备速干手消毒剂或感应式手消毒设备。</w:t>
      </w:r>
    </w:p>
    <w:p w14:paraId="3B78B02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2009A84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原标准</w:t>
      </w:r>
      <w:r>
        <w:rPr>
          <w:rFonts w:cs="Times New Roman" w:hint="eastAsia"/>
          <w:szCs w:val="24"/>
        </w:rPr>
        <w:t>4.4</w:t>
      </w:r>
      <w:r>
        <w:rPr>
          <w:rFonts w:cs="Times New Roman"/>
          <w:szCs w:val="24"/>
        </w:rPr>
        <w:t xml:space="preserve"> </w:t>
      </w:r>
      <w:r>
        <w:rPr>
          <w:rFonts w:cs="Times New Roman" w:hint="eastAsia"/>
          <w:szCs w:val="24"/>
        </w:rPr>
        <w:t>公共用品用具要求“公共场所提供的洗手设施、消毒用品…应保证功能正常，使用安全。”，</w:t>
      </w:r>
      <w:r>
        <w:rPr>
          <w:rFonts w:cs="Times New Roman" w:hint="eastAsia"/>
          <w:szCs w:val="24"/>
        </w:rPr>
        <w:t>5.2</w:t>
      </w:r>
      <w:r>
        <w:rPr>
          <w:rFonts w:cs="Times New Roman"/>
          <w:szCs w:val="24"/>
        </w:rPr>
        <w:t xml:space="preserve"> </w:t>
      </w:r>
      <w:r>
        <w:rPr>
          <w:rFonts w:cs="Times New Roman" w:hint="eastAsia"/>
          <w:szCs w:val="24"/>
        </w:rPr>
        <w:t>清洁消毒要求“…宜在公共区域配备手消毒剂。”《新型冠状病毒肺炎防控方案》《重点场所、重点机构、重点人群和特定人群新冠肺炎疫情防控技术指南》中，反复明确要求“在出入口、电梯、卫生间…等公共区域配备速干手消毒剂”“建议在公共场所…配备感应式手消毒设备”等，该项科学措施已被广泛采纳为日常卫生管理的最佳实践，可有效切断传染病的接触传播途径，保障公众健康。</w:t>
      </w:r>
    </w:p>
    <w:p w14:paraId="2D894771" w14:textId="77777777" w:rsidR="00D4394E" w:rsidRDefault="00000000">
      <w:pPr>
        <w:adjustRightInd w:val="0"/>
        <w:snapToGrid w:val="0"/>
        <w:spacing w:line="240" w:lineRule="auto"/>
        <w:ind w:firstLineChars="200" w:firstLine="482"/>
        <w:rPr>
          <w:rFonts w:cs="Times New Roman"/>
          <w:b/>
          <w:bCs/>
          <w:szCs w:val="24"/>
        </w:rPr>
      </w:pPr>
      <w:r>
        <w:rPr>
          <w:rFonts w:cs="Times New Roman"/>
          <w:b/>
          <w:bCs/>
          <w:szCs w:val="24"/>
        </w:rPr>
        <w:t>18</w:t>
      </w:r>
      <w:r>
        <w:rPr>
          <w:rFonts w:cs="Times New Roman" w:hint="eastAsia"/>
          <w:b/>
          <w:bCs/>
          <w:szCs w:val="24"/>
        </w:rPr>
        <w:t>）</w:t>
      </w:r>
      <w:r>
        <w:rPr>
          <w:rFonts w:cs="Times New Roman"/>
          <w:b/>
          <w:bCs/>
          <w:szCs w:val="24"/>
        </w:rPr>
        <w:t xml:space="preserve">7 </w:t>
      </w:r>
      <w:r>
        <w:rPr>
          <w:rFonts w:hint="eastAsia"/>
          <w:b/>
          <w:bCs/>
        </w:rPr>
        <w:t>疫情暴发地区公共场所卫生防控要求（</w:t>
      </w:r>
      <w:r>
        <w:rPr>
          <w:b/>
          <w:bCs/>
        </w:rPr>
        <w:t>7.5</w:t>
      </w:r>
      <w:r>
        <w:rPr>
          <w:rFonts w:hint="eastAsia"/>
          <w:b/>
          <w:bCs/>
        </w:rPr>
        <w:t>）</w:t>
      </w:r>
    </w:p>
    <w:p w14:paraId="068694DE"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7.5 </w:t>
      </w:r>
      <w:r>
        <w:rPr>
          <w:rFonts w:cs="Times New Roman" w:hint="eastAsia"/>
          <w:szCs w:val="24"/>
        </w:rPr>
        <w:t>所在地市突发传染病暴发、流行时，公共场所应做好公用设施设备和高频接触物体表面的清洁消毒，重复使用的公共用品用具应做到“一客一用一消毒”。</w:t>
      </w:r>
    </w:p>
    <w:p w14:paraId="7409C1D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355D5F7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卫生管理条例实施细则》第十四条要求“公共场所经营者提供给顾客使用的用品用具应当保证卫生安全，可以反复使用的用品用具应当一客一换，按照有关卫生标准和要求清洗、消毒、保洁。禁止重复使用一次性用品用具”。公共场所用品用具消毒的常态化法律基础。在传染病暴发流行时，这一要求从一般性规定上升为必须严格执行的强制性措施。</w:t>
      </w:r>
    </w:p>
    <w:p w14:paraId="5A2451D6" w14:textId="77777777" w:rsidR="00D4394E" w:rsidRDefault="00000000">
      <w:pPr>
        <w:adjustRightInd w:val="0"/>
        <w:snapToGrid w:val="0"/>
        <w:spacing w:line="240" w:lineRule="auto"/>
        <w:ind w:firstLineChars="200" w:firstLine="482"/>
        <w:rPr>
          <w:rFonts w:cs="Times New Roman"/>
          <w:b/>
          <w:bCs/>
          <w:szCs w:val="24"/>
        </w:rPr>
      </w:pPr>
      <w:r>
        <w:rPr>
          <w:rFonts w:cs="Times New Roman"/>
          <w:b/>
          <w:bCs/>
          <w:szCs w:val="24"/>
        </w:rPr>
        <w:t>19</w:t>
      </w:r>
      <w:r>
        <w:rPr>
          <w:rFonts w:cs="Times New Roman" w:hint="eastAsia"/>
          <w:b/>
          <w:bCs/>
          <w:szCs w:val="24"/>
        </w:rPr>
        <w:t>）</w:t>
      </w:r>
      <w:r>
        <w:rPr>
          <w:rFonts w:cs="Times New Roman"/>
          <w:b/>
          <w:bCs/>
          <w:szCs w:val="24"/>
        </w:rPr>
        <w:t xml:space="preserve">7 </w:t>
      </w:r>
      <w:r>
        <w:rPr>
          <w:rFonts w:hint="eastAsia"/>
          <w:b/>
          <w:bCs/>
        </w:rPr>
        <w:t>疫情暴发地区公共场所卫生防控要求（</w:t>
      </w:r>
      <w:r>
        <w:rPr>
          <w:b/>
          <w:bCs/>
        </w:rPr>
        <w:t>7.6</w:t>
      </w:r>
      <w:r>
        <w:rPr>
          <w:rFonts w:hint="eastAsia"/>
          <w:b/>
          <w:bCs/>
        </w:rPr>
        <w:t>）</w:t>
      </w:r>
    </w:p>
    <w:p w14:paraId="3E647761"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7.6 </w:t>
      </w:r>
      <w:r>
        <w:rPr>
          <w:rFonts w:cs="Times New Roman" w:hint="eastAsia"/>
          <w:szCs w:val="24"/>
        </w:rPr>
        <w:t>所在地市突发传染病暴发、流行时，公共场所在运营时段应提醒场所内从业人员、配送员、顾客等人员保持安全距离，做好个人防护，及时进行手卫生。</w:t>
      </w:r>
    </w:p>
    <w:p w14:paraId="2F4488A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增加依据：</w:t>
      </w:r>
    </w:p>
    <w:p w14:paraId="733B1BE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新型冠状病毒肺炎防控方案》（第八、九版）该方案是整个防控工作的总纲，在“重点场所防护要求”部分，反复强调“保持安全社交距离”、“做好手卫生”是通用基础要求。《重点场所、重点机构、重点人群和特定人群新冠肺炎疫情防控技术指南》针对不同场景的指南都包含以下具体要求：要求公共场所设置“一米线”标识，提醒顾客排队付款时保持安全距离；要求场所内所有人员（从业人员、顾客、配送员等）全程佩戴医用口罩或以上级别口罩；从业人员应根据风险等级佩戴更高级别的防护用品（如手套、面屏）；要求“注意个人卫生，及</w:t>
      </w:r>
      <w:r>
        <w:rPr>
          <w:rFonts w:cs="Times New Roman" w:hint="eastAsia"/>
          <w:szCs w:val="24"/>
        </w:rPr>
        <w:lastRenderedPageBreak/>
        <w:t>时进行手卫生”，在出入口、电梯、卫生间等公共区域配备速干手消毒剂，方便人员随时消毒等。</w:t>
      </w:r>
    </w:p>
    <w:p w14:paraId="3DAB21D9" w14:textId="77777777" w:rsidR="00D4394E" w:rsidRDefault="00000000">
      <w:pPr>
        <w:adjustRightInd w:val="0"/>
        <w:snapToGrid w:val="0"/>
        <w:spacing w:line="240" w:lineRule="auto"/>
        <w:ind w:firstLineChars="200" w:firstLine="482"/>
        <w:rPr>
          <w:b/>
          <w:bCs/>
        </w:rPr>
      </w:pPr>
      <w:r>
        <w:rPr>
          <w:b/>
          <w:bCs/>
        </w:rPr>
        <w:t>20</w:t>
      </w:r>
      <w:r>
        <w:rPr>
          <w:rFonts w:hint="eastAsia"/>
          <w:b/>
          <w:bCs/>
        </w:rPr>
        <w:t>）附录</w:t>
      </w:r>
      <w:r>
        <w:rPr>
          <w:rFonts w:hint="eastAsia"/>
          <w:b/>
          <w:bCs/>
        </w:rPr>
        <w:t>B</w:t>
      </w:r>
      <w:r>
        <w:rPr>
          <w:rFonts w:hint="eastAsia"/>
          <w:b/>
          <w:bCs/>
        </w:rPr>
        <w:t>手卫生基本要求（</w:t>
      </w:r>
      <w:r>
        <w:rPr>
          <w:b/>
          <w:bCs/>
        </w:rPr>
        <w:t>B.5.1</w:t>
      </w:r>
      <w:r>
        <w:rPr>
          <w:rFonts w:hint="eastAsia"/>
          <w:b/>
          <w:bCs/>
        </w:rPr>
        <w:t>）</w:t>
      </w:r>
    </w:p>
    <w:p w14:paraId="693E581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新增</w:t>
      </w:r>
      <w:r>
        <w:rPr>
          <w:rFonts w:cs="Times New Roman" w:hint="eastAsia"/>
          <w:szCs w:val="24"/>
        </w:rPr>
        <w:t>B.5</w:t>
      </w:r>
      <w:r>
        <w:rPr>
          <w:rFonts w:cs="Times New Roman"/>
          <w:szCs w:val="24"/>
        </w:rPr>
        <w:t xml:space="preserve"> </w:t>
      </w:r>
      <w:r>
        <w:rPr>
          <w:rFonts w:cs="Times New Roman" w:hint="eastAsia"/>
          <w:szCs w:val="24"/>
        </w:rPr>
        <w:t>手卫生</w:t>
      </w:r>
    </w:p>
    <w:p w14:paraId="17C5AD5E"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B.5.1 </w:t>
      </w:r>
      <w:r>
        <w:rPr>
          <w:rFonts w:cs="Times New Roman" w:hint="eastAsia"/>
          <w:szCs w:val="24"/>
        </w:rPr>
        <w:t>手卫生方法</w:t>
      </w:r>
    </w:p>
    <w:p w14:paraId="1598A82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手部有肉眼可见污物时，用洗手液</w:t>
      </w:r>
      <w:r>
        <w:rPr>
          <w:rFonts w:cs="Times New Roman" w:hint="eastAsia"/>
          <w:szCs w:val="24"/>
        </w:rPr>
        <w:t>/</w:t>
      </w:r>
      <w:r>
        <w:rPr>
          <w:rFonts w:cs="Times New Roman" w:hint="eastAsia"/>
          <w:szCs w:val="24"/>
        </w:rPr>
        <w:t>皂液在流动水下洗手；无可见污物时，可用手消毒剂揉搓双手或洗手。</w:t>
      </w:r>
    </w:p>
    <w:p w14:paraId="1C785C3B" w14:textId="77777777" w:rsidR="00D4394E" w:rsidRDefault="00000000">
      <w:pPr>
        <w:adjustRightInd w:val="0"/>
        <w:snapToGrid w:val="0"/>
        <w:spacing w:line="240" w:lineRule="auto"/>
        <w:ind w:firstLineChars="200" w:firstLine="482"/>
        <w:rPr>
          <w:b/>
          <w:bCs/>
        </w:rPr>
      </w:pPr>
      <w:r>
        <w:rPr>
          <w:b/>
          <w:bCs/>
        </w:rPr>
        <w:t>21</w:t>
      </w:r>
      <w:r>
        <w:rPr>
          <w:rFonts w:hint="eastAsia"/>
          <w:b/>
          <w:bCs/>
        </w:rPr>
        <w:t>）附录</w:t>
      </w:r>
      <w:r>
        <w:rPr>
          <w:rFonts w:hint="eastAsia"/>
          <w:b/>
          <w:bCs/>
        </w:rPr>
        <w:t>B</w:t>
      </w:r>
      <w:r>
        <w:rPr>
          <w:rFonts w:hint="eastAsia"/>
          <w:b/>
          <w:bCs/>
        </w:rPr>
        <w:t>手卫生基本要求（</w:t>
      </w:r>
      <w:r>
        <w:rPr>
          <w:b/>
          <w:bCs/>
        </w:rPr>
        <w:t>B.5.2</w:t>
      </w:r>
      <w:r>
        <w:rPr>
          <w:rFonts w:hint="eastAsia"/>
          <w:b/>
          <w:bCs/>
        </w:rPr>
        <w:t>）</w:t>
      </w:r>
    </w:p>
    <w:p w14:paraId="5076F868"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B.5.2 </w:t>
      </w:r>
      <w:r>
        <w:rPr>
          <w:rFonts w:cs="Times New Roman" w:hint="eastAsia"/>
          <w:szCs w:val="24"/>
        </w:rPr>
        <w:t>手卫生指征</w:t>
      </w:r>
    </w:p>
    <w:p w14:paraId="7F2497B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下列四种情况应采取手卫生措施。</w:t>
      </w:r>
    </w:p>
    <w:p w14:paraId="39DDB4A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a)</w:t>
      </w:r>
      <w:r>
        <w:rPr>
          <w:rFonts w:cs="Times New Roman" w:hint="eastAsia"/>
          <w:szCs w:val="24"/>
        </w:rPr>
        <w:t>清洁操作前，铺陈清洁公共用品用具前，触摸面部、口鼻、眼睛及身体前等；</w:t>
      </w:r>
    </w:p>
    <w:p w14:paraId="09675A4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b)</w:t>
      </w:r>
      <w:r>
        <w:rPr>
          <w:rFonts w:cs="Times New Roman" w:hint="eastAsia"/>
          <w:szCs w:val="24"/>
        </w:rPr>
        <w:t>污染操作后，咳嗽、打喷嚏用手捂口鼻后、大小便后、触摸钱币后、接触或处理各种垃圾和污物后等；</w:t>
      </w:r>
    </w:p>
    <w:p w14:paraId="5CFF552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c)</w:t>
      </w:r>
      <w:r>
        <w:rPr>
          <w:rFonts w:cs="Times New Roman" w:hint="eastAsia"/>
          <w:szCs w:val="24"/>
        </w:rPr>
        <w:t>手部有明显污染物时；</w:t>
      </w:r>
    </w:p>
    <w:p w14:paraId="4A734AB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d</w:t>
      </w:r>
      <w:r>
        <w:rPr>
          <w:rFonts w:cs="Times New Roman" w:hint="eastAsia"/>
          <w:szCs w:val="24"/>
        </w:rPr>
        <w:t>)</w:t>
      </w:r>
      <w:r>
        <w:rPr>
          <w:rFonts w:cs="Times New Roman" w:hint="eastAsia"/>
          <w:szCs w:val="24"/>
        </w:rPr>
        <w:t>传染病流行期间，触摸门把手、电梯按键等各类高频接触的物体表面后。</w:t>
      </w:r>
    </w:p>
    <w:p w14:paraId="4406C84B" w14:textId="77777777" w:rsidR="00D4394E" w:rsidRDefault="00000000">
      <w:pPr>
        <w:adjustRightInd w:val="0"/>
        <w:snapToGrid w:val="0"/>
        <w:spacing w:line="240" w:lineRule="auto"/>
        <w:ind w:firstLineChars="200" w:firstLine="480"/>
        <w:rPr>
          <w:rFonts w:cs="Times New Roman"/>
          <w:szCs w:val="24"/>
        </w:rPr>
      </w:pPr>
      <w:r>
        <w:rPr>
          <w:rFonts w:hint="eastAsia"/>
          <w:szCs w:val="24"/>
        </w:rPr>
        <w:t>增</w:t>
      </w:r>
      <w:r>
        <w:rPr>
          <w:rFonts w:cs="Times New Roman" w:hint="eastAsia"/>
          <w:szCs w:val="24"/>
        </w:rPr>
        <w:t>加依据：</w:t>
      </w:r>
    </w:p>
    <w:p w14:paraId="533EAF5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公共场所人员密集且流动性大，从业人员手部可直接接触各种环境，是疾病传播的重要途径。保持从业人员手部清洁卫生对于预防感染、维护健康至关重要。因此在附录</w:t>
      </w:r>
      <w:r>
        <w:rPr>
          <w:rFonts w:cs="Times New Roman" w:hint="eastAsia"/>
          <w:szCs w:val="24"/>
        </w:rPr>
        <w:t>B</w:t>
      </w:r>
      <w:r>
        <w:rPr>
          <w:rFonts w:cs="Times New Roman" w:hint="eastAsia"/>
          <w:szCs w:val="24"/>
        </w:rPr>
        <w:t>新增从业人员手卫生基本要求。该技术内容参考</w:t>
      </w:r>
      <w:r>
        <w:rPr>
          <w:rFonts w:cs="Times New Roman" w:hint="eastAsia"/>
          <w:szCs w:val="24"/>
        </w:rPr>
        <w:t>WS/T</w:t>
      </w:r>
      <w:r>
        <w:rPr>
          <w:rFonts w:cs="Times New Roman"/>
          <w:szCs w:val="24"/>
        </w:rPr>
        <w:t xml:space="preserve"> 699 </w:t>
      </w:r>
      <w:r>
        <w:rPr>
          <w:rFonts w:cs="Times New Roman" w:hint="eastAsia"/>
          <w:szCs w:val="24"/>
        </w:rPr>
        <w:t>人群聚集场所手卫生规范并结合公共场所特点，规定了从业人员洗手方法和四种应进行手卫生的指征。</w:t>
      </w:r>
    </w:p>
    <w:p w14:paraId="26D9DBD3" w14:textId="77777777" w:rsidR="00D4394E" w:rsidRDefault="00D4394E">
      <w:pPr>
        <w:adjustRightInd w:val="0"/>
        <w:snapToGrid w:val="0"/>
        <w:spacing w:line="240" w:lineRule="auto"/>
        <w:ind w:firstLineChars="200" w:firstLine="480"/>
        <w:rPr>
          <w:rFonts w:cs="Times New Roman"/>
          <w:szCs w:val="24"/>
        </w:rPr>
      </w:pPr>
    </w:p>
    <w:p w14:paraId="0ED2F61D" w14:textId="77777777" w:rsidR="00D4394E" w:rsidRDefault="00000000">
      <w:pPr>
        <w:pStyle w:val="3"/>
        <w:spacing w:before="156" w:after="156"/>
        <w:ind w:firstLine="482"/>
      </w:pPr>
      <w:bookmarkStart w:id="159" w:name="_Toc30422"/>
      <w:bookmarkStart w:id="160" w:name="_Toc21003"/>
      <w:bookmarkStart w:id="161" w:name="_Toc23595"/>
      <w:bookmarkStart w:id="162" w:name="_Toc14648"/>
      <w:bookmarkStart w:id="163" w:name="_Toc10568"/>
      <w:bookmarkStart w:id="164" w:name="_Toc7157"/>
      <w:bookmarkStart w:id="165" w:name="_Toc1038"/>
      <w:bookmarkStart w:id="166" w:name="_Toc2129"/>
      <w:bookmarkStart w:id="167" w:name="_Toc1443"/>
      <w:bookmarkStart w:id="168" w:name="_Toc25625"/>
      <w:r>
        <w:rPr>
          <w:rFonts w:hint="eastAsia"/>
        </w:rPr>
        <w:t>4</w:t>
      </w:r>
      <w:r>
        <w:t>.</w:t>
      </w:r>
      <w:r>
        <w:rPr>
          <w:rFonts w:hint="eastAsia"/>
        </w:rPr>
        <w:t>修改的内容</w:t>
      </w:r>
      <w:bookmarkEnd w:id="159"/>
      <w:bookmarkEnd w:id="160"/>
      <w:r>
        <w:rPr>
          <w:rFonts w:hint="eastAsia"/>
        </w:rPr>
        <w:t>（</w:t>
      </w:r>
      <w:r>
        <w:rPr>
          <w:rFonts w:hint="eastAsia"/>
        </w:rPr>
        <w:t>87</w:t>
      </w:r>
      <w:r>
        <w:rPr>
          <w:rFonts w:hint="eastAsia"/>
        </w:rPr>
        <w:t>条）</w:t>
      </w:r>
      <w:bookmarkEnd w:id="161"/>
      <w:bookmarkEnd w:id="162"/>
      <w:bookmarkEnd w:id="163"/>
      <w:bookmarkEnd w:id="164"/>
      <w:bookmarkEnd w:id="165"/>
      <w:bookmarkEnd w:id="166"/>
      <w:bookmarkEnd w:id="167"/>
      <w:bookmarkEnd w:id="168"/>
    </w:p>
    <w:p w14:paraId="4E385C73" w14:textId="77777777" w:rsidR="00D4394E" w:rsidRDefault="00D4394E">
      <w:pPr>
        <w:adjustRightInd w:val="0"/>
        <w:snapToGrid w:val="0"/>
        <w:spacing w:line="240" w:lineRule="auto"/>
        <w:jc w:val="left"/>
        <w:rPr>
          <w:rFonts w:cs="Times New Roman"/>
          <w:b/>
          <w:bCs/>
          <w:szCs w:val="24"/>
        </w:rPr>
      </w:pPr>
    </w:p>
    <w:p w14:paraId="633F7E2B"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第</w:t>
      </w:r>
      <w:r>
        <w:rPr>
          <w:rFonts w:cs="Times New Roman" w:hint="eastAsia"/>
          <w:b/>
          <w:bCs/>
          <w:szCs w:val="24"/>
        </w:rPr>
        <w:t>1</w:t>
      </w:r>
      <w:r>
        <w:rPr>
          <w:rFonts w:cs="Times New Roman" w:hint="eastAsia"/>
          <w:b/>
          <w:bCs/>
          <w:szCs w:val="24"/>
        </w:rPr>
        <w:t>类：整体修改的内容</w:t>
      </w:r>
    </w:p>
    <w:p w14:paraId="15D82206"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hint="eastAsia"/>
          <w:b/>
          <w:bCs/>
          <w:szCs w:val="24"/>
        </w:rPr>
        <w:t>（1）将原标准中部分推荐性规定修改为强制性规定</w:t>
      </w:r>
    </w:p>
    <w:p w14:paraId="1F9DF0F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将原标准推荐性规定，经过讨论后保留可修改为强制性规定的条款共</w:t>
      </w:r>
      <w:r>
        <w:rPr>
          <w:rFonts w:cs="Times New Roman" w:hint="eastAsia"/>
          <w:szCs w:val="24"/>
        </w:rPr>
        <w:t>26</w:t>
      </w:r>
      <w:r>
        <w:rPr>
          <w:rFonts w:cs="Times New Roman" w:hint="eastAsia"/>
          <w:szCs w:val="24"/>
        </w:rPr>
        <w:t>处。</w:t>
      </w:r>
    </w:p>
    <w:p w14:paraId="0931CA5D"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hint="eastAsia"/>
          <w:b/>
          <w:bCs/>
          <w:szCs w:val="24"/>
        </w:rPr>
        <w:t>（2）统一修改的名词</w:t>
      </w:r>
    </w:p>
    <w:p w14:paraId="562CFFB7" w14:textId="77777777" w:rsidR="00D4394E" w:rsidRDefault="00000000">
      <w:pPr>
        <w:adjustRightInd w:val="0"/>
        <w:snapToGrid w:val="0"/>
        <w:spacing w:line="240" w:lineRule="auto"/>
        <w:ind w:firstLine="480"/>
        <w:rPr>
          <w:rFonts w:cs="Times New Roman"/>
          <w:szCs w:val="24"/>
        </w:rPr>
      </w:pPr>
      <w:r>
        <w:rPr>
          <w:rFonts w:cs="Times New Roman" w:hint="eastAsia"/>
          <w:szCs w:val="24"/>
        </w:rPr>
        <w:t>统一修改的名词共</w:t>
      </w:r>
      <w:r>
        <w:rPr>
          <w:rFonts w:cs="Times New Roman"/>
          <w:szCs w:val="24"/>
        </w:rPr>
        <w:t>3</w:t>
      </w:r>
      <w:r>
        <w:rPr>
          <w:rFonts w:cs="Times New Roman" w:hint="eastAsia"/>
          <w:szCs w:val="24"/>
        </w:rPr>
        <w:t>项</w:t>
      </w:r>
      <w:r>
        <w:rPr>
          <w:rFonts w:cs="Times New Roman" w:hint="eastAsia"/>
          <w:szCs w:val="24"/>
        </w:rPr>
        <w:t>11</w:t>
      </w:r>
      <w:r>
        <w:rPr>
          <w:rFonts w:cs="Times New Roman" w:hint="eastAsia"/>
          <w:szCs w:val="24"/>
        </w:rPr>
        <w:t>处：将美发店修改为理发店，将卫生相关产品修改为公共卫生用品，将机械排风修改为机械通风。</w:t>
      </w:r>
    </w:p>
    <w:p w14:paraId="175AF696"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17B2899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与《公共场所卫生管理条例》一致，将标准正文美发店、美发人员等修改为理发店、理发店从业人员，共</w:t>
      </w:r>
      <w:r>
        <w:rPr>
          <w:rFonts w:cs="Times New Roman"/>
          <w:szCs w:val="24"/>
        </w:rPr>
        <w:t>4</w:t>
      </w:r>
      <w:r>
        <w:rPr>
          <w:rFonts w:cs="Times New Roman" w:hint="eastAsia"/>
          <w:szCs w:val="24"/>
        </w:rPr>
        <w:t>处。同时保留了正文、附录</w:t>
      </w:r>
      <w:r>
        <w:rPr>
          <w:rFonts w:cs="Times New Roman"/>
          <w:szCs w:val="24"/>
        </w:rPr>
        <w:t>A</w:t>
      </w:r>
      <w:r>
        <w:rPr>
          <w:rFonts w:cs="Times New Roman" w:hint="eastAsia"/>
          <w:szCs w:val="24"/>
        </w:rPr>
        <w:t>、附录</w:t>
      </w:r>
      <w:r>
        <w:rPr>
          <w:rFonts w:cs="Times New Roman"/>
          <w:szCs w:val="24"/>
        </w:rPr>
        <w:t>B</w:t>
      </w:r>
      <w:r>
        <w:rPr>
          <w:rFonts w:cs="Times New Roman" w:hint="eastAsia"/>
          <w:szCs w:val="24"/>
        </w:rPr>
        <w:t>中美容美发场所、美容美发工具等习惯性用语；</w:t>
      </w:r>
    </w:p>
    <w:p w14:paraId="37547EE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与《公共场所卫生管理条例实施细则》一致，将卫生相关产品修改见“公共卫生用品”定义，共</w:t>
      </w:r>
      <w:r>
        <w:rPr>
          <w:rFonts w:cs="Times New Roman" w:hint="eastAsia"/>
          <w:szCs w:val="24"/>
        </w:rPr>
        <w:t>4</w:t>
      </w:r>
      <w:r>
        <w:rPr>
          <w:rFonts w:cs="Times New Roman" w:hint="eastAsia"/>
          <w:szCs w:val="24"/>
        </w:rPr>
        <w:t>处；</w:t>
      </w:r>
    </w:p>
    <w:p w14:paraId="3F954E1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将“机械排风”修改为“机械通风”，共</w:t>
      </w:r>
      <w:r>
        <w:rPr>
          <w:rFonts w:cs="Times New Roman"/>
          <w:szCs w:val="24"/>
        </w:rPr>
        <w:t>3</w:t>
      </w:r>
      <w:r>
        <w:rPr>
          <w:rFonts w:cs="Times New Roman" w:hint="eastAsia"/>
          <w:szCs w:val="24"/>
        </w:rPr>
        <w:t>处。“机械排风”仅强调了空气的“排出”功能，而“机械通风”更全面，它包含了利用机械设备进行“送风（送入新风）”和“排风（排出废气）”的完整循环过程。</w:t>
      </w:r>
    </w:p>
    <w:p w14:paraId="5DE1B0F4" w14:textId="77777777" w:rsidR="00D4394E" w:rsidRDefault="00D4394E">
      <w:pPr>
        <w:adjustRightInd w:val="0"/>
        <w:snapToGrid w:val="0"/>
        <w:spacing w:line="240" w:lineRule="auto"/>
        <w:ind w:firstLineChars="200" w:firstLine="480"/>
        <w:rPr>
          <w:rFonts w:cs="Times New Roman"/>
          <w:szCs w:val="24"/>
        </w:rPr>
      </w:pPr>
    </w:p>
    <w:p w14:paraId="364E705C"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前言、引言、范围</w:t>
      </w:r>
    </w:p>
    <w:p w14:paraId="7A394C9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w:t>
      </w:r>
      <w:r>
        <w:rPr>
          <w:rFonts w:cs="Times New Roman"/>
          <w:szCs w:val="24"/>
        </w:rPr>
        <w:t>2026</w:t>
      </w:r>
      <w:r>
        <w:rPr>
          <w:rFonts w:cs="Times New Roman" w:hint="eastAsia"/>
          <w:szCs w:val="24"/>
        </w:rPr>
        <w:t>版修订内容修改前言的主要技术变化。修改适用范围。</w:t>
      </w:r>
    </w:p>
    <w:p w14:paraId="033C2E87" w14:textId="77777777" w:rsidR="00D4394E" w:rsidRDefault="00D4394E">
      <w:pPr>
        <w:adjustRightInd w:val="0"/>
        <w:snapToGrid w:val="0"/>
        <w:spacing w:line="240" w:lineRule="auto"/>
        <w:ind w:firstLineChars="200" w:firstLine="480"/>
        <w:rPr>
          <w:rFonts w:cs="Times New Roman"/>
          <w:szCs w:val="24"/>
        </w:rPr>
      </w:pPr>
    </w:p>
    <w:p w14:paraId="36D19349" w14:textId="77777777" w:rsidR="00D4394E" w:rsidRDefault="00000000">
      <w:pPr>
        <w:adjustRightInd w:val="0"/>
        <w:snapToGrid w:val="0"/>
        <w:spacing w:line="240" w:lineRule="auto"/>
        <w:jc w:val="left"/>
        <w:rPr>
          <w:rFonts w:cs="Times New Roman"/>
          <w:szCs w:val="24"/>
        </w:rPr>
      </w:pPr>
      <w:r>
        <w:rPr>
          <w:rFonts w:cs="Times New Roman" w:hint="eastAsia"/>
          <w:b/>
          <w:bCs/>
          <w:szCs w:val="24"/>
        </w:rPr>
        <w:t>第</w:t>
      </w:r>
      <w:r>
        <w:rPr>
          <w:rFonts w:cs="Times New Roman"/>
          <w:b/>
          <w:bCs/>
          <w:szCs w:val="24"/>
        </w:rPr>
        <w:t>2</w:t>
      </w:r>
      <w:r>
        <w:rPr>
          <w:rFonts w:cs="Times New Roman" w:hint="eastAsia"/>
          <w:b/>
          <w:bCs/>
          <w:szCs w:val="24"/>
        </w:rPr>
        <w:t>章</w:t>
      </w:r>
      <w:r>
        <w:rPr>
          <w:rFonts w:cs="Times New Roman"/>
          <w:b/>
          <w:bCs/>
          <w:szCs w:val="24"/>
        </w:rPr>
        <w:t xml:space="preserve"> </w:t>
      </w:r>
      <w:r>
        <w:rPr>
          <w:rFonts w:cs="Times New Roman" w:hint="eastAsia"/>
          <w:b/>
          <w:bCs/>
          <w:szCs w:val="24"/>
        </w:rPr>
        <w:t>规范性引用文件</w:t>
      </w:r>
    </w:p>
    <w:p w14:paraId="210C31BD"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WS </w:t>
      </w:r>
      <w:r>
        <w:rPr>
          <w:rFonts w:cs="Times New Roman" w:hint="eastAsia"/>
          <w:szCs w:val="24"/>
        </w:rPr>
        <w:t>394</w:t>
      </w:r>
      <w:r>
        <w:rPr>
          <w:rFonts w:cs="Times New Roman" w:hint="eastAsia"/>
          <w:szCs w:val="24"/>
        </w:rPr>
        <w:t>《公共场所集中空调通风系统卫生规范》修改为</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《公共场所集中空调通风系统卫生规范》</w:t>
      </w:r>
    </w:p>
    <w:p w14:paraId="6BDCDE7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w:t>
      </w:r>
      <w:bookmarkStart w:id="169" w:name="OLE_LINK12"/>
      <w:bookmarkStart w:id="170" w:name="OLE_LINK13"/>
      <w:r>
        <w:rPr>
          <w:rFonts w:cs="Times New Roman" w:hint="eastAsia"/>
          <w:szCs w:val="24"/>
        </w:rPr>
        <w:t>依据</w:t>
      </w:r>
      <w:bookmarkEnd w:id="169"/>
      <w:bookmarkEnd w:id="170"/>
      <w:r>
        <w:rPr>
          <w:rFonts w:cs="Times New Roman" w:hint="eastAsia"/>
          <w:szCs w:val="24"/>
        </w:rPr>
        <w:t>：</w:t>
      </w:r>
    </w:p>
    <w:p w14:paraId="134EC3DD" w14:textId="77777777" w:rsidR="00D4394E" w:rsidRDefault="00000000">
      <w:pPr>
        <w:adjustRightInd w:val="0"/>
        <w:snapToGrid w:val="0"/>
        <w:spacing w:line="240" w:lineRule="auto"/>
        <w:ind w:firstLine="480"/>
        <w:rPr>
          <w:rFonts w:cs="Times New Roman"/>
          <w:szCs w:val="24"/>
        </w:rPr>
      </w:pPr>
      <w:r>
        <w:rPr>
          <w:rFonts w:cs="Times New Roman" w:hint="eastAsia"/>
          <w:szCs w:val="24"/>
        </w:rPr>
        <w:t>因引用文件</w:t>
      </w:r>
      <w:r>
        <w:rPr>
          <w:rFonts w:cs="Times New Roman" w:hint="eastAsia"/>
          <w:szCs w:val="24"/>
        </w:rPr>
        <w:t>WS</w:t>
      </w:r>
      <w:r>
        <w:rPr>
          <w:rFonts w:cs="Times New Roman"/>
          <w:szCs w:val="24"/>
        </w:rPr>
        <w:t xml:space="preserve"> </w:t>
      </w:r>
      <w:r>
        <w:rPr>
          <w:rFonts w:cs="Times New Roman" w:hint="eastAsia"/>
          <w:szCs w:val="24"/>
        </w:rPr>
        <w:t>394</w:t>
      </w:r>
      <w:r>
        <w:rPr>
          <w:rFonts w:cs="Times New Roman" w:hint="eastAsia"/>
          <w:szCs w:val="24"/>
        </w:rPr>
        <w:t>《公共场所集中空调通风系统卫生规范》修订，规范性引用文件中</w:t>
      </w:r>
      <w:r>
        <w:rPr>
          <w:rFonts w:cs="Times New Roman" w:hint="eastAsia"/>
          <w:szCs w:val="24"/>
        </w:rPr>
        <w:t>WS</w:t>
      </w:r>
      <w:r>
        <w:rPr>
          <w:rFonts w:cs="Times New Roman"/>
          <w:szCs w:val="24"/>
        </w:rPr>
        <w:t xml:space="preserve"> </w:t>
      </w:r>
      <w:r>
        <w:rPr>
          <w:rFonts w:cs="Times New Roman" w:hint="eastAsia"/>
          <w:szCs w:val="24"/>
        </w:rPr>
        <w:t>394</w:t>
      </w:r>
      <w:r>
        <w:rPr>
          <w:rFonts w:cs="Times New Roman" w:hint="eastAsia"/>
          <w:szCs w:val="24"/>
        </w:rPr>
        <w:t>修改为</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w:t>
      </w:r>
    </w:p>
    <w:p w14:paraId="4FBC9FEB" w14:textId="77777777" w:rsidR="00D4394E" w:rsidRDefault="00D4394E">
      <w:pPr>
        <w:adjustRightInd w:val="0"/>
        <w:snapToGrid w:val="0"/>
        <w:spacing w:line="240" w:lineRule="auto"/>
        <w:ind w:firstLine="480"/>
        <w:rPr>
          <w:rFonts w:cs="Times New Roman"/>
          <w:szCs w:val="24"/>
        </w:rPr>
      </w:pPr>
    </w:p>
    <w:p w14:paraId="124FE1C6"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第</w:t>
      </w:r>
      <w:r>
        <w:rPr>
          <w:rFonts w:cs="Times New Roman" w:hint="eastAsia"/>
          <w:b/>
          <w:bCs/>
          <w:szCs w:val="24"/>
        </w:rPr>
        <w:t>3</w:t>
      </w:r>
      <w:r>
        <w:rPr>
          <w:rFonts w:cs="Times New Roman" w:hint="eastAsia"/>
          <w:b/>
          <w:bCs/>
          <w:szCs w:val="24"/>
        </w:rPr>
        <w:t>章</w:t>
      </w:r>
      <w:r>
        <w:rPr>
          <w:rFonts w:cs="Times New Roman"/>
          <w:b/>
          <w:bCs/>
          <w:szCs w:val="24"/>
        </w:rPr>
        <w:t xml:space="preserve"> </w:t>
      </w:r>
      <w:r>
        <w:rPr>
          <w:rFonts w:cs="Times New Roman" w:hint="eastAsia"/>
          <w:b/>
          <w:bCs/>
          <w:szCs w:val="24"/>
        </w:rPr>
        <w:t>术语和定义</w:t>
      </w:r>
    </w:p>
    <w:p w14:paraId="1D9535E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公共用品用具</w:t>
      </w:r>
      <w:r>
        <w:rPr>
          <w:rFonts w:cs="Times New Roman"/>
          <w:szCs w:val="24"/>
        </w:rPr>
        <w:t xml:space="preserve"> public articles </w:t>
      </w:r>
      <w:r>
        <w:rPr>
          <w:rFonts w:cs="Times New Roman" w:hint="eastAsia"/>
          <w:szCs w:val="24"/>
        </w:rPr>
        <w:t>公共场所经营者提供给顾客重复使用的，且与皮肤、黏膜等直接接触的物品，包括床单、枕套、被套、毛巾、浴巾、浴衣、杯具、洁具、拖鞋、美容美发工具、修脚工具、立体观影眼镜等。</w:t>
      </w:r>
    </w:p>
    <w:p w14:paraId="0040E77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修改依据：</w:t>
      </w:r>
    </w:p>
    <w:p w14:paraId="54FD455B" w14:textId="77777777" w:rsidR="00D4394E" w:rsidRDefault="00000000">
      <w:pPr>
        <w:adjustRightInd w:val="0"/>
        <w:snapToGrid w:val="0"/>
        <w:spacing w:line="240" w:lineRule="auto"/>
        <w:ind w:firstLine="480"/>
        <w:rPr>
          <w:rFonts w:cs="Times New Roman"/>
          <w:szCs w:val="24"/>
        </w:rPr>
      </w:pPr>
      <w:r>
        <w:rPr>
          <w:rFonts w:cs="Times New Roman" w:hint="eastAsia"/>
          <w:szCs w:val="24"/>
        </w:rPr>
        <w:t>公共用品用具术语的定义中增加了立体观影眼镜的列举。随着</w:t>
      </w:r>
      <w:r>
        <w:rPr>
          <w:rFonts w:cs="Times New Roman" w:hint="eastAsia"/>
          <w:szCs w:val="24"/>
        </w:rPr>
        <w:t>3D</w:t>
      </w:r>
      <w:r>
        <w:rPr>
          <w:rFonts w:cs="Times New Roman" w:hint="eastAsia"/>
          <w:szCs w:val="24"/>
        </w:rPr>
        <w:t>电影的发展，影院使用立体观影眼镜越来越多，立体观影眼镜为观影者接触频率较高且混用的物品，故列入公共用品用具中。另外在原标准</w:t>
      </w:r>
      <w:r>
        <w:rPr>
          <w:rFonts w:cs="Times New Roman" w:hint="eastAsia"/>
          <w:szCs w:val="24"/>
        </w:rPr>
        <w:t>A.2.7</w:t>
      </w:r>
      <w:r>
        <w:rPr>
          <w:rFonts w:cs="Times New Roman" w:hint="eastAsia"/>
          <w:szCs w:val="24"/>
        </w:rPr>
        <w:t>提到了立体观影眼镜，因此将该项列入公共场所常见的公共用品用具。</w:t>
      </w:r>
    </w:p>
    <w:p w14:paraId="135A8E94" w14:textId="77777777" w:rsidR="00D4394E" w:rsidRDefault="00D4394E">
      <w:pPr>
        <w:adjustRightInd w:val="0"/>
        <w:snapToGrid w:val="0"/>
        <w:spacing w:line="240" w:lineRule="auto"/>
        <w:ind w:firstLine="480"/>
        <w:rPr>
          <w:rFonts w:cs="Times New Roman"/>
          <w:szCs w:val="24"/>
        </w:rPr>
      </w:pPr>
    </w:p>
    <w:p w14:paraId="141C6F74"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第</w:t>
      </w:r>
      <w:r>
        <w:rPr>
          <w:rFonts w:cs="Times New Roman" w:hint="eastAsia"/>
          <w:b/>
          <w:bCs/>
          <w:szCs w:val="24"/>
        </w:rPr>
        <w:t>4</w:t>
      </w:r>
      <w:r>
        <w:rPr>
          <w:rFonts w:cs="Times New Roman" w:hint="eastAsia"/>
          <w:b/>
          <w:bCs/>
          <w:szCs w:val="24"/>
        </w:rPr>
        <w:t>章基本卫生要求</w:t>
      </w:r>
    </w:p>
    <w:p w14:paraId="21EC64A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第</w:t>
      </w:r>
      <w:r>
        <w:rPr>
          <w:rFonts w:cs="Times New Roman" w:hint="eastAsia"/>
          <w:szCs w:val="24"/>
        </w:rPr>
        <w:t>4</w:t>
      </w:r>
      <w:r>
        <w:rPr>
          <w:rFonts w:cs="Times New Roman" w:hint="eastAsia"/>
          <w:szCs w:val="24"/>
        </w:rPr>
        <w:t>章修改的原则是</w:t>
      </w:r>
      <w:r>
        <w:rPr>
          <w:rFonts w:cs="Times New Roman" w:hint="eastAsia"/>
          <w:b/>
          <w:bCs/>
          <w:szCs w:val="24"/>
        </w:rPr>
        <w:t>框架不变、合并精简、易于使用。</w:t>
      </w:r>
      <w:r>
        <w:rPr>
          <w:rFonts w:cs="Times New Roman" w:hint="eastAsia"/>
          <w:szCs w:val="24"/>
        </w:rPr>
        <w:t>基本卫生要求在原标准第</w:t>
      </w:r>
      <w:r>
        <w:rPr>
          <w:rFonts w:cs="Times New Roman" w:hint="eastAsia"/>
          <w:szCs w:val="24"/>
        </w:rPr>
        <w:t>4</w:t>
      </w:r>
      <w:r>
        <w:rPr>
          <w:rFonts w:cs="Times New Roman" w:hint="eastAsia"/>
          <w:szCs w:val="24"/>
        </w:rPr>
        <w:t>章基础上，按照总体要求、公共用品用具、公共卫生用品、通风与空调、生活饮用水、游泳池水沐浴用水、物体表面、卫生专间（区）、卫生清扫工具、工作车管理、外送清洗管理、病媒生物防制、标志标识共</w:t>
      </w:r>
      <w:r>
        <w:rPr>
          <w:rFonts w:cs="Times New Roman" w:hint="eastAsia"/>
          <w:szCs w:val="24"/>
        </w:rPr>
        <w:t>13</w:t>
      </w:r>
      <w:r>
        <w:rPr>
          <w:rFonts w:cs="Times New Roman" w:hint="eastAsia"/>
          <w:szCs w:val="24"/>
        </w:rPr>
        <w:t>个方面进行合并、修改和优化为新第</w:t>
      </w:r>
      <w:r>
        <w:rPr>
          <w:rFonts w:cs="Times New Roman" w:hint="eastAsia"/>
          <w:szCs w:val="24"/>
        </w:rPr>
        <w:t>4</w:t>
      </w:r>
      <w:r>
        <w:rPr>
          <w:rFonts w:cs="Times New Roman" w:hint="eastAsia"/>
          <w:szCs w:val="24"/>
        </w:rPr>
        <w:t>章。</w:t>
      </w:r>
    </w:p>
    <w:p w14:paraId="04DDEDEE"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b/>
          <w:bCs/>
          <w:szCs w:val="24"/>
        </w:rPr>
        <w:t xml:space="preserve">4.1 </w:t>
      </w:r>
      <w:r>
        <w:rPr>
          <w:rFonts w:ascii="楷体" w:eastAsia="楷体" w:hAnsi="楷体" w:cs="楷体" w:hint="eastAsia"/>
          <w:b/>
          <w:bCs/>
          <w:szCs w:val="24"/>
        </w:rPr>
        <w:t>总体要求</w:t>
      </w:r>
    </w:p>
    <w:p w14:paraId="50FD6AB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24F41BF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4.4.1</w:t>
      </w:r>
      <w:r>
        <w:rPr>
          <w:rFonts w:cs="Times New Roman" w:hint="eastAsia"/>
          <w:szCs w:val="24"/>
        </w:rPr>
        <w:t>”“</w:t>
      </w:r>
      <w:r>
        <w:rPr>
          <w:rFonts w:cs="Times New Roman" w:hint="eastAsia"/>
          <w:szCs w:val="24"/>
        </w:rPr>
        <w:t>4.15</w:t>
      </w:r>
      <w:r>
        <w:rPr>
          <w:rFonts w:cs="Times New Roman" w:hint="eastAsia"/>
          <w:szCs w:val="24"/>
        </w:rPr>
        <w:t>”“</w:t>
      </w:r>
      <w:r>
        <w:rPr>
          <w:rFonts w:cs="Times New Roman" w:hint="eastAsia"/>
          <w:szCs w:val="24"/>
        </w:rPr>
        <w:t>4.9.2</w:t>
      </w:r>
      <w:r>
        <w:rPr>
          <w:rFonts w:cs="Times New Roman" w:hint="eastAsia"/>
          <w:szCs w:val="24"/>
        </w:rPr>
        <w:t>（</w:t>
      </w:r>
      <w:r>
        <w:rPr>
          <w:rFonts w:cs="Times New Roman" w:hint="eastAsia"/>
          <w:szCs w:val="24"/>
        </w:rPr>
        <w:t>d</w:t>
      </w:r>
      <w:r>
        <w:rPr>
          <w:rFonts w:cs="Times New Roman" w:hint="eastAsia"/>
          <w:szCs w:val="24"/>
        </w:rPr>
        <w:t>）”“</w:t>
      </w:r>
      <w:r>
        <w:rPr>
          <w:rFonts w:cs="Times New Roman" w:hint="eastAsia"/>
          <w:szCs w:val="24"/>
        </w:rPr>
        <w:t>4.4.6</w:t>
      </w:r>
      <w:r>
        <w:rPr>
          <w:rFonts w:cs="Times New Roman" w:hint="eastAsia"/>
          <w:szCs w:val="24"/>
        </w:rPr>
        <w:t>”等</w:t>
      </w:r>
      <w:r>
        <w:rPr>
          <w:rFonts w:cs="Times New Roman" w:hint="eastAsia"/>
          <w:szCs w:val="24"/>
        </w:rPr>
        <w:t>9</w:t>
      </w:r>
      <w:r>
        <w:rPr>
          <w:rFonts w:cs="Times New Roman" w:hint="eastAsia"/>
          <w:szCs w:val="24"/>
        </w:rPr>
        <w:t>条内容，精简合并变为“</w:t>
      </w:r>
      <w:r>
        <w:rPr>
          <w:rFonts w:cs="Times New Roman" w:hint="eastAsia"/>
          <w:szCs w:val="24"/>
        </w:rPr>
        <w:t>4.1</w:t>
      </w:r>
      <w:r>
        <w:rPr>
          <w:rFonts w:cs="Times New Roman"/>
          <w:szCs w:val="24"/>
        </w:rPr>
        <w:t xml:space="preserve"> </w:t>
      </w:r>
      <w:r>
        <w:rPr>
          <w:rFonts w:cs="Times New Roman" w:hint="eastAsia"/>
          <w:szCs w:val="24"/>
        </w:rPr>
        <w:t>总体要求”。在总体要求中，删除重复及过程描述内容，精简文字，修订为</w:t>
      </w:r>
      <w:r>
        <w:rPr>
          <w:rFonts w:cs="Times New Roman" w:hint="eastAsia"/>
          <w:szCs w:val="24"/>
        </w:rPr>
        <w:t>4</w:t>
      </w:r>
      <w:r>
        <w:rPr>
          <w:rFonts w:cs="Times New Roman" w:hint="eastAsia"/>
          <w:szCs w:val="24"/>
        </w:rPr>
        <w:t>条。将部分条款修改方法理由简述如下：</w:t>
      </w:r>
    </w:p>
    <w:p w14:paraId="43E0B322"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4.1.1 </w:t>
      </w:r>
      <w:r>
        <w:rPr>
          <w:rFonts w:cs="Times New Roman" w:hint="eastAsia"/>
          <w:szCs w:val="24"/>
        </w:rPr>
        <w:t>公共场所应保持环境整洁，室内物品无积尘和不洁物。</w:t>
      </w:r>
    </w:p>
    <w:p w14:paraId="1E44FD3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57B3D77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合并了原标准</w:t>
      </w:r>
      <w:r>
        <w:rPr>
          <w:rFonts w:cs="Times New Roman" w:hint="eastAsia"/>
          <w:szCs w:val="24"/>
        </w:rPr>
        <w:t>4.15</w:t>
      </w:r>
      <w:r>
        <w:rPr>
          <w:rFonts w:cs="Times New Roman"/>
          <w:szCs w:val="24"/>
        </w:rPr>
        <w:t>.1</w:t>
      </w:r>
      <w:r>
        <w:rPr>
          <w:rFonts w:cs="Times New Roman" w:hint="eastAsia"/>
          <w:szCs w:val="24"/>
        </w:rPr>
        <w:t>“公共场所应开展经常性卫生清扫，保持场所环境整洁”和</w:t>
      </w:r>
      <w:r>
        <w:rPr>
          <w:rFonts w:cs="Times New Roman" w:hint="eastAsia"/>
          <w:szCs w:val="24"/>
        </w:rPr>
        <w:t>4.15.5</w:t>
      </w:r>
      <w:r>
        <w:rPr>
          <w:rFonts w:cs="Times New Roman" w:hint="eastAsia"/>
          <w:szCs w:val="24"/>
        </w:rPr>
        <w:t>“室内物品无积尘和不洁物”。在日常监督执法中，很多关于公共场所的投诉举报处理事项，如靠枕、沙发、开水壶等物品的卫生投诉，由于现有法律法规无明确卫生要求，依靠该规定可以作为此类物品卫生要求的兜底条款，为具体执法行为提供依据。</w:t>
      </w:r>
    </w:p>
    <w:p w14:paraId="295EB772" w14:textId="77777777" w:rsidR="00D4394E" w:rsidRDefault="00D4394E">
      <w:pPr>
        <w:adjustRightInd w:val="0"/>
        <w:snapToGrid w:val="0"/>
        <w:spacing w:line="240" w:lineRule="auto"/>
        <w:ind w:firstLineChars="200" w:firstLine="480"/>
        <w:rPr>
          <w:rFonts w:cs="Times New Roman"/>
          <w:szCs w:val="24"/>
        </w:rPr>
      </w:pPr>
    </w:p>
    <w:p w14:paraId="31B04C82"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4.1.2 </w:t>
      </w:r>
      <w:r>
        <w:rPr>
          <w:rFonts w:cs="Times New Roman" w:hint="eastAsia"/>
          <w:szCs w:val="24"/>
        </w:rPr>
        <w:t>公共场所地面应无积尘、积水、污物，墙壁、天花板应无蛛网、霉斑、脱落等情形。</w:t>
      </w:r>
    </w:p>
    <w:p w14:paraId="5373E4A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2016C05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修改了</w:t>
      </w:r>
      <w:r>
        <w:rPr>
          <w:rFonts w:cs="Times New Roman" w:hint="eastAsia"/>
          <w:szCs w:val="24"/>
        </w:rPr>
        <w:t>4.15</w:t>
      </w:r>
      <w:r>
        <w:rPr>
          <w:rFonts w:cs="Times New Roman"/>
          <w:szCs w:val="24"/>
        </w:rPr>
        <w:t>.4</w:t>
      </w:r>
      <w:r>
        <w:rPr>
          <w:rFonts w:cs="Times New Roman" w:hint="eastAsia"/>
          <w:szCs w:val="24"/>
        </w:rPr>
        <w:t xml:space="preserve"> </w:t>
      </w:r>
      <w:r>
        <w:rPr>
          <w:rFonts w:cs="Times New Roman" w:hint="eastAsia"/>
          <w:szCs w:val="24"/>
        </w:rPr>
        <w:t>环境清扫保洁，使条文更具有可操作性和实用性。</w:t>
      </w:r>
    </w:p>
    <w:p w14:paraId="23DCB660" w14:textId="77777777" w:rsidR="00D4394E" w:rsidRDefault="00D4394E">
      <w:pPr>
        <w:adjustRightInd w:val="0"/>
        <w:snapToGrid w:val="0"/>
        <w:spacing w:line="240" w:lineRule="auto"/>
        <w:ind w:firstLineChars="200" w:firstLine="480"/>
        <w:rPr>
          <w:rFonts w:cs="Times New Roman"/>
          <w:szCs w:val="24"/>
        </w:rPr>
      </w:pPr>
    </w:p>
    <w:p w14:paraId="654D3745" w14:textId="77777777" w:rsidR="00D4394E" w:rsidRDefault="00000000">
      <w:pPr>
        <w:adjustRightInd w:val="0"/>
        <w:snapToGrid w:val="0"/>
        <w:spacing w:line="240" w:lineRule="auto"/>
        <w:ind w:firstLineChars="200" w:firstLine="480"/>
      </w:pPr>
      <w:r>
        <w:rPr>
          <w:rFonts w:cs="Times New Roman"/>
          <w:szCs w:val="24"/>
        </w:rPr>
        <w:t xml:space="preserve">4.1.3 </w:t>
      </w:r>
      <w:r>
        <w:rPr>
          <w:rFonts w:hint="eastAsia"/>
        </w:rPr>
        <w:t>公共场所室内应具备良好通风条件，空气清新，无异味。室内无霉斑、积尘、虫害（如蚊、蝇、蟑螂、鼠类等）及其他影响公共卫生安全的异物或病媒</w:t>
      </w:r>
      <w:r>
        <w:rPr>
          <w:rFonts w:hint="eastAsia"/>
        </w:rPr>
        <w:lastRenderedPageBreak/>
        <w:t>生物孳生现象。</w:t>
      </w:r>
    </w:p>
    <w:p w14:paraId="5E4E4D52" w14:textId="77777777" w:rsidR="00D4394E" w:rsidRDefault="00000000">
      <w:pPr>
        <w:adjustRightInd w:val="0"/>
        <w:snapToGrid w:val="0"/>
        <w:spacing w:line="240" w:lineRule="auto"/>
        <w:ind w:firstLineChars="200" w:firstLine="480"/>
      </w:pPr>
      <w:r>
        <w:rPr>
          <w:rFonts w:hint="eastAsia"/>
        </w:rPr>
        <w:t>修改方法</w:t>
      </w:r>
      <w:r>
        <w:rPr>
          <w:rFonts w:cs="Times New Roman" w:hint="eastAsia"/>
          <w:szCs w:val="24"/>
        </w:rPr>
        <w:t>及理由</w:t>
      </w:r>
      <w:r>
        <w:rPr>
          <w:rFonts w:hint="eastAsia"/>
        </w:rPr>
        <w:t>：</w:t>
      </w:r>
    </w:p>
    <w:p w14:paraId="7CF93B45" w14:textId="77777777" w:rsidR="00D4394E" w:rsidRDefault="00000000">
      <w:pPr>
        <w:adjustRightInd w:val="0"/>
        <w:snapToGrid w:val="0"/>
        <w:spacing w:line="240" w:lineRule="auto"/>
        <w:ind w:firstLineChars="200" w:firstLine="480"/>
      </w:pPr>
      <w:r>
        <w:rPr>
          <w:rFonts w:hint="eastAsia"/>
        </w:rPr>
        <w:t>保留原标准</w:t>
      </w:r>
      <w:r>
        <w:rPr>
          <w:rFonts w:hint="eastAsia"/>
        </w:rPr>
        <w:t>4.4.1</w:t>
      </w:r>
      <w:r>
        <w:rPr>
          <w:rFonts w:hint="eastAsia"/>
        </w:rPr>
        <w:t>“公共场所应充分利用门窗进行自然通风，保持室内空气清新、无异味。”</w:t>
      </w:r>
      <w:r>
        <w:rPr>
          <w:rFonts w:hint="eastAsia"/>
        </w:rPr>
        <w:t>4.9.2</w:t>
      </w:r>
      <w:r>
        <w:rPr>
          <w:rFonts w:hint="eastAsia"/>
        </w:rPr>
        <w:t>（</w:t>
      </w:r>
      <w:r>
        <w:rPr>
          <w:rFonts w:hint="eastAsia"/>
        </w:rPr>
        <w:t>d</w:t>
      </w:r>
      <w:r>
        <w:rPr>
          <w:rFonts w:hint="eastAsia"/>
        </w:rPr>
        <w:t>）“环境应保持整洁，通风良好，室内无霉斑和积尘，设置病媒生物防治设施并正常使用，无病媒生物滋生。”</w:t>
      </w:r>
      <w:r>
        <w:t>4.15.6</w:t>
      </w:r>
      <w:r>
        <w:rPr>
          <w:rFonts w:hint="eastAsia"/>
        </w:rPr>
        <w:t>“室内空气清新，无霉味、烟味和其他异味”进行合并，并增加“虫害（如蚊、蝇、蟑螂、鼠类等）及其他影响公共卫生安全的异物或病媒生物孳生现象”。征求意见反馈在举报投诉处理中经常遇到房间内有虫子等异物投诉，无法找到处理依据，因此增加室内无霉斑、积尘、虫害（如蚊、蝇、蟑螂、鼠类等）及其他影响公共卫生安全的异物或病媒生物孳生现象。</w:t>
      </w:r>
    </w:p>
    <w:p w14:paraId="0063C945" w14:textId="77777777" w:rsidR="00D4394E" w:rsidRDefault="00D4394E">
      <w:pPr>
        <w:adjustRightInd w:val="0"/>
        <w:snapToGrid w:val="0"/>
        <w:spacing w:line="240" w:lineRule="auto"/>
        <w:ind w:firstLineChars="200" w:firstLine="480"/>
      </w:pPr>
    </w:p>
    <w:p w14:paraId="0F2D11A5" w14:textId="77777777" w:rsidR="00D4394E" w:rsidRDefault="00000000">
      <w:pPr>
        <w:adjustRightInd w:val="0"/>
        <w:snapToGrid w:val="0"/>
        <w:spacing w:line="240" w:lineRule="auto"/>
        <w:ind w:firstLineChars="200" w:firstLine="480"/>
      </w:pPr>
      <w:r>
        <w:t xml:space="preserve">4.1.4 </w:t>
      </w:r>
      <w:r>
        <w:rPr>
          <w:rFonts w:hint="eastAsia"/>
        </w:rPr>
        <w:t>室内公共场所禁止吸烟，禁烟管理应符合国家相关法律法规的规定。</w:t>
      </w:r>
    </w:p>
    <w:p w14:paraId="4F0A958C" w14:textId="77777777" w:rsidR="00D4394E" w:rsidRDefault="00000000">
      <w:pPr>
        <w:adjustRightInd w:val="0"/>
        <w:snapToGrid w:val="0"/>
        <w:spacing w:line="240" w:lineRule="auto"/>
        <w:ind w:firstLineChars="200" w:firstLine="480"/>
      </w:pPr>
      <w:r>
        <w:rPr>
          <w:rFonts w:hint="eastAsia"/>
        </w:rPr>
        <w:t>修改方法</w:t>
      </w:r>
      <w:r>
        <w:rPr>
          <w:rFonts w:cs="Times New Roman" w:hint="eastAsia"/>
          <w:szCs w:val="24"/>
        </w:rPr>
        <w:t>及理由</w:t>
      </w:r>
      <w:r>
        <w:rPr>
          <w:rFonts w:hint="eastAsia"/>
        </w:rPr>
        <w:t>：</w:t>
      </w:r>
    </w:p>
    <w:p w14:paraId="6418035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4.4.6</w:t>
      </w:r>
      <w:r>
        <w:rPr>
          <w:rFonts w:cs="Times New Roman" w:hint="eastAsia"/>
          <w:szCs w:val="24"/>
        </w:rPr>
        <w:t>“公共场所禁止吸烟，禁烟管理应符合国家相关法律法规的规定。”修改为“室内公共场所禁止吸烟</w:t>
      </w:r>
      <w:r>
        <w:rPr>
          <w:rFonts w:cs="Times New Roman" w:hint="eastAsia"/>
          <w:szCs w:val="24"/>
        </w:rPr>
        <w:t>......</w:t>
      </w:r>
      <w:r>
        <w:rPr>
          <w:rFonts w:cs="Times New Roman" w:hint="eastAsia"/>
          <w:szCs w:val="24"/>
        </w:rPr>
        <w:t>的规定”，强调禁烟管理适用于室内公共场所。</w:t>
      </w:r>
    </w:p>
    <w:p w14:paraId="08441637" w14:textId="77777777" w:rsidR="00D4394E" w:rsidRDefault="00D4394E">
      <w:pPr>
        <w:adjustRightInd w:val="0"/>
        <w:snapToGrid w:val="0"/>
        <w:spacing w:line="240" w:lineRule="auto"/>
        <w:ind w:firstLineChars="200" w:firstLine="480"/>
      </w:pPr>
    </w:p>
    <w:p w14:paraId="37150303"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b/>
          <w:bCs/>
          <w:szCs w:val="24"/>
        </w:rPr>
        <w:t xml:space="preserve">4.2 </w:t>
      </w:r>
      <w:r>
        <w:rPr>
          <w:rFonts w:ascii="楷体" w:eastAsia="楷体" w:hAnsi="楷体" w:cs="楷体" w:hint="eastAsia"/>
          <w:b/>
          <w:bCs/>
          <w:szCs w:val="24"/>
        </w:rPr>
        <w:t>公共用品用具</w:t>
      </w:r>
    </w:p>
    <w:p w14:paraId="3C216B6C"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4.2.1 </w:t>
      </w:r>
      <w:r>
        <w:rPr>
          <w:rFonts w:cs="Times New Roman" w:hint="eastAsia"/>
          <w:szCs w:val="24"/>
        </w:rPr>
        <w:t>公共用品用具的配备数量应满足清洁消毒周转需要。常见公共用品用具配备基本要求见附录</w:t>
      </w:r>
      <w:r>
        <w:rPr>
          <w:rFonts w:cs="Times New Roman" w:hint="eastAsia"/>
          <w:szCs w:val="24"/>
        </w:rPr>
        <w:t>A</w:t>
      </w:r>
      <w:r>
        <w:rPr>
          <w:rFonts w:cs="Times New Roman" w:hint="eastAsia"/>
          <w:szCs w:val="24"/>
        </w:rPr>
        <w:t>。</w:t>
      </w:r>
    </w:p>
    <w:p w14:paraId="6922E633"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7AE615CE" w14:textId="77777777" w:rsidR="00D4394E" w:rsidRDefault="00000000">
      <w:pPr>
        <w:adjustRightInd w:val="0"/>
        <w:snapToGrid w:val="0"/>
        <w:spacing w:line="240" w:lineRule="auto"/>
        <w:ind w:firstLine="480"/>
        <w:rPr>
          <w:rFonts w:cs="Times New Roman"/>
          <w:szCs w:val="24"/>
        </w:rPr>
      </w:pPr>
      <w:r>
        <w:rPr>
          <w:rFonts w:cs="Times New Roman" w:hint="eastAsia"/>
          <w:szCs w:val="24"/>
        </w:rPr>
        <w:t>将原标准“</w:t>
      </w:r>
      <w:r>
        <w:rPr>
          <w:rFonts w:cs="Times New Roman" w:hint="eastAsia"/>
          <w:szCs w:val="24"/>
        </w:rPr>
        <w:t>4.1.3</w:t>
      </w:r>
      <w:r>
        <w:rPr>
          <w:rFonts w:cs="Times New Roman"/>
          <w:szCs w:val="24"/>
        </w:rPr>
        <w:t xml:space="preserve"> </w:t>
      </w:r>
      <w:r>
        <w:rPr>
          <w:rFonts w:cs="Times New Roman" w:hint="eastAsia"/>
          <w:szCs w:val="24"/>
        </w:rPr>
        <w:t>公共用品用具的配备数量应能满足经营需要”满足经营需求修改为满足清洁消毒周转需求，体现对公共场所公共用品用具卫生的要求，基本配备仍按附录</w:t>
      </w:r>
      <w:r>
        <w:rPr>
          <w:rFonts w:cs="Times New Roman" w:hint="eastAsia"/>
          <w:szCs w:val="24"/>
        </w:rPr>
        <w:t>A</w:t>
      </w:r>
      <w:r>
        <w:rPr>
          <w:rFonts w:cs="Times New Roman" w:hint="eastAsia"/>
          <w:szCs w:val="24"/>
        </w:rPr>
        <w:t>进行管理。</w:t>
      </w:r>
    </w:p>
    <w:p w14:paraId="67DF7386" w14:textId="77777777" w:rsidR="00D4394E" w:rsidRDefault="00D4394E">
      <w:pPr>
        <w:adjustRightInd w:val="0"/>
        <w:snapToGrid w:val="0"/>
        <w:spacing w:line="240" w:lineRule="auto"/>
        <w:ind w:firstLine="480"/>
        <w:rPr>
          <w:rFonts w:cs="Times New Roman"/>
          <w:szCs w:val="24"/>
        </w:rPr>
      </w:pPr>
    </w:p>
    <w:p w14:paraId="025FC6E8" w14:textId="77777777" w:rsidR="00D4394E" w:rsidRDefault="00000000">
      <w:pPr>
        <w:adjustRightInd w:val="0"/>
        <w:snapToGrid w:val="0"/>
        <w:spacing w:line="240" w:lineRule="auto"/>
        <w:ind w:firstLine="480"/>
        <w:rPr>
          <w:rFonts w:cs="Times New Roman"/>
          <w:szCs w:val="24"/>
        </w:rPr>
      </w:pPr>
      <w:r>
        <w:rPr>
          <w:rFonts w:cs="Times New Roman"/>
          <w:szCs w:val="24"/>
        </w:rPr>
        <w:t>4.2.2</w:t>
      </w:r>
      <w:r>
        <w:rPr>
          <w:rFonts w:cs="Times New Roman" w:hint="eastAsia"/>
          <w:szCs w:val="24"/>
        </w:rPr>
        <w:t xml:space="preserve"> </w:t>
      </w:r>
      <w:r>
        <w:rPr>
          <w:rFonts w:cs="Times New Roman" w:hint="eastAsia"/>
          <w:szCs w:val="24"/>
        </w:rPr>
        <w:t>公共用品用具应存放在储藏间或场所内符合卫生要求的区域。物品应分类、分架存放，距墙壁、地面</w:t>
      </w:r>
      <w:r>
        <w:rPr>
          <w:rFonts w:cs="Times New Roman" w:hint="eastAsia"/>
          <w:szCs w:val="24"/>
        </w:rPr>
        <w:t>10cm</w:t>
      </w:r>
      <w:r>
        <w:rPr>
          <w:rFonts w:cs="Times New Roman" w:hint="eastAsia"/>
          <w:szCs w:val="24"/>
        </w:rPr>
        <w:t>以上。</w:t>
      </w:r>
    </w:p>
    <w:p w14:paraId="2F5E62FC"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530839EF" w14:textId="77777777" w:rsidR="00D4394E" w:rsidRDefault="00000000">
      <w:pPr>
        <w:adjustRightInd w:val="0"/>
        <w:snapToGrid w:val="0"/>
        <w:spacing w:line="240" w:lineRule="auto"/>
        <w:ind w:firstLine="480"/>
        <w:rPr>
          <w:rFonts w:cs="Times New Roman"/>
          <w:szCs w:val="24"/>
        </w:rPr>
      </w:pPr>
      <w:r>
        <w:rPr>
          <w:rFonts w:cs="Times New Roman" w:hint="eastAsia"/>
          <w:szCs w:val="24"/>
        </w:rPr>
        <w:t>将原标准“</w:t>
      </w:r>
      <w:r>
        <w:rPr>
          <w:rFonts w:cs="Times New Roman" w:hint="eastAsia"/>
          <w:szCs w:val="24"/>
        </w:rPr>
        <w:t>4.2.1</w:t>
      </w:r>
      <w:r>
        <w:rPr>
          <w:rFonts w:cs="Times New Roman"/>
          <w:szCs w:val="24"/>
        </w:rPr>
        <w:t xml:space="preserve"> </w:t>
      </w:r>
      <w:r>
        <w:rPr>
          <w:rFonts w:cs="Times New Roman" w:hint="eastAsia"/>
          <w:szCs w:val="24"/>
        </w:rPr>
        <w:t>公共用品用具应存放在储藏间或场所内符合卫生要求的区域”“</w:t>
      </w:r>
      <w:r>
        <w:rPr>
          <w:rFonts w:cs="Times New Roman" w:hint="eastAsia"/>
          <w:szCs w:val="24"/>
        </w:rPr>
        <w:t>4.2.2</w:t>
      </w:r>
      <w:r>
        <w:rPr>
          <w:rFonts w:cs="Times New Roman"/>
          <w:szCs w:val="24"/>
        </w:rPr>
        <w:t xml:space="preserve"> </w:t>
      </w:r>
      <w:r>
        <w:rPr>
          <w:rFonts w:cs="Times New Roman" w:hint="eastAsia"/>
          <w:szCs w:val="24"/>
        </w:rPr>
        <w:t>物品应分类、分架存放，距墙壁、地面</w:t>
      </w:r>
      <w:r>
        <w:rPr>
          <w:rFonts w:cs="Times New Roman" w:hint="eastAsia"/>
          <w:szCs w:val="24"/>
        </w:rPr>
        <w:t>10cm</w:t>
      </w:r>
      <w:r>
        <w:rPr>
          <w:rFonts w:cs="Times New Roman" w:hint="eastAsia"/>
          <w:szCs w:val="24"/>
        </w:rPr>
        <w:t>以上”“</w:t>
      </w:r>
      <w:r>
        <w:rPr>
          <w:rFonts w:cs="Times New Roman" w:hint="eastAsia"/>
          <w:szCs w:val="24"/>
        </w:rPr>
        <w:t>4.9.2</w:t>
      </w:r>
      <w:r>
        <w:rPr>
          <w:rFonts w:cs="Times New Roman"/>
          <w:szCs w:val="24"/>
        </w:rPr>
        <w:t xml:space="preserve"> </w:t>
      </w:r>
      <w:r>
        <w:rPr>
          <w:rFonts w:cs="Times New Roman" w:hint="eastAsia"/>
          <w:szCs w:val="24"/>
        </w:rPr>
        <w:t>b</w:t>
      </w:r>
      <w:r>
        <w:rPr>
          <w:rFonts w:cs="Times New Roman" w:hint="eastAsia"/>
          <w:szCs w:val="24"/>
        </w:rPr>
        <w:t>）公共用品宜与一次性拖鞋、牙刷、牙膏、肥皂、卫生纸、洗发液、沐浴液等耗损品分间存放”进行修改合并整合为</w:t>
      </w:r>
      <w:r>
        <w:rPr>
          <w:rFonts w:cs="Times New Roman"/>
          <w:szCs w:val="24"/>
        </w:rPr>
        <w:t>4.2.2</w:t>
      </w:r>
      <w:r>
        <w:rPr>
          <w:rFonts w:cs="Times New Roman" w:hint="eastAsia"/>
          <w:szCs w:val="24"/>
        </w:rPr>
        <w:t>。</w:t>
      </w:r>
    </w:p>
    <w:p w14:paraId="7DA3753D" w14:textId="77777777" w:rsidR="00D4394E" w:rsidRDefault="00D4394E">
      <w:pPr>
        <w:adjustRightInd w:val="0"/>
        <w:snapToGrid w:val="0"/>
        <w:spacing w:line="240" w:lineRule="auto"/>
        <w:ind w:firstLine="480"/>
        <w:rPr>
          <w:rFonts w:cs="Times New Roman"/>
          <w:szCs w:val="24"/>
        </w:rPr>
      </w:pPr>
    </w:p>
    <w:p w14:paraId="02D5A930"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4.2.3 </w:t>
      </w:r>
      <w:r>
        <w:rPr>
          <w:rFonts w:cs="Times New Roman" w:hint="eastAsia"/>
          <w:szCs w:val="24"/>
        </w:rPr>
        <w:t>公共场所应严格执行公共用品用具换洗消毒规定，并做好相关记录。常见公共用品换洗消毒管理基本要求见附录</w:t>
      </w:r>
      <w:r>
        <w:rPr>
          <w:rFonts w:cs="Times New Roman" w:hint="eastAsia"/>
          <w:szCs w:val="24"/>
        </w:rPr>
        <w:t>B</w:t>
      </w:r>
      <w:r>
        <w:rPr>
          <w:rFonts w:cs="Times New Roman" w:hint="eastAsia"/>
          <w:szCs w:val="24"/>
        </w:rPr>
        <w:t>。</w:t>
      </w:r>
    </w:p>
    <w:p w14:paraId="59C84C03"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7418E40F" w14:textId="77777777" w:rsidR="00D4394E" w:rsidRDefault="00000000">
      <w:pPr>
        <w:adjustRightInd w:val="0"/>
        <w:snapToGrid w:val="0"/>
        <w:spacing w:line="240" w:lineRule="auto"/>
        <w:ind w:firstLine="480"/>
        <w:rPr>
          <w:rFonts w:cs="Times New Roman"/>
          <w:szCs w:val="24"/>
        </w:rPr>
      </w:pPr>
      <w:r>
        <w:rPr>
          <w:rFonts w:cs="Times New Roman" w:hint="eastAsia"/>
          <w:szCs w:val="24"/>
        </w:rPr>
        <w:t>将原标准“</w:t>
      </w:r>
      <w:r>
        <w:rPr>
          <w:rFonts w:cs="Times New Roman" w:hint="eastAsia"/>
          <w:szCs w:val="24"/>
        </w:rPr>
        <w:t>4.3.1</w:t>
      </w:r>
      <w:r>
        <w:rPr>
          <w:rFonts w:cs="Times New Roman"/>
          <w:szCs w:val="24"/>
        </w:rPr>
        <w:t xml:space="preserve"> </w:t>
      </w:r>
      <w:r>
        <w:rPr>
          <w:rFonts w:cs="Times New Roman" w:hint="eastAsia"/>
          <w:szCs w:val="24"/>
        </w:rPr>
        <w:t>公共场所应严格执行公共用品用具换洗消毒规定”“</w:t>
      </w:r>
      <w:r>
        <w:rPr>
          <w:rFonts w:cs="Times New Roman"/>
          <w:szCs w:val="24"/>
        </w:rPr>
        <w:t xml:space="preserve">4.3.2 </w:t>
      </w:r>
      <w:r>
        <w:rPr>
          <w:rFonts w:cs="Times New Roman" w:hint="eastAsia"/>
          <w:szCs w:val="24"/>
        </w:rPr>
        <w:t>公共场所常见公共用品换洗消毒管理基本要求见附录</w:t>
      </w:r>
      <w:r>
        <w:rPr>
          <w:rFonts w:cs="Times New Roman" w:hint="eastAsia"/>
          <w:szCs w:val="24"/>
        </w:rPr>
        <w:t>B</w:t>
      </w:r>
      <w:r>
        <w:rPr>
          <w:rFonts w:cs="Times New Roman" w:hint="eastAsia"/>
          <w:szCs w:val="24"/>
        </w:rPr>
        <w:t>”进行合并，并补充“做好相关记录”的要求。</w:t>
      </w:r>
    </w:p>
    <w:p w14:paraId="79F2038A" w14:textId="77777777" w:rsidR="00D4394E" w:rsidRDefault="00D4394E">
      <w:pPr>
        <w:adjustRightInd w:val="0"/>
        <w:snapToGrid w:val="0"/>
        <w:spacing w:line="240" w:lineRule="auto"/>
        <w:ind w:firstLine="480"/>
        <w:rPr>
          <w:rFonts w:cs="Times New Roman"/>
          <w:szCs w:val="24"/>
        </w:rPr>
      </w:pPr>
    </w:p>
    <w:p w14:paraId="547EBB25"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4.2.4 </w:t>
      </w:r>
      <w:r>
        <w:rPr>
          <w:rFonts w:cs="Times New Roman" w:hint="eastAsia"/>
          <w:szCs w:val="24"/>
        </w:rPr>
        <w:t>公共用品用具消毒应选择合适的方法，清洗消毒过程规范，杯具、拖鞋、美容美发工具、修脚工具等公共用具应在专用消毒间（消毒区）进行清洗消毒，保证消毒效果，清洗消毒后的公共用品用具应符合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p>
    <w:p w14:paraId="1CDE5794"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18D29A24" w14:textId="77777777" w:rsidR="00D4394E" w:rsidRDefault="00000000">
      <w:pPr>
        <w:adjustRightInd w:val="0"/>
        <w:snapToGrid w:val="0"/>
        <w:spacing w:line="240" w:lineRule="auto"/>
        <w:ind w:firstLine="480"/>
        <w:rPr>
          <w:rFonts w:cs="Times New Roman"/>
          <w:szCs w:val="24"/>
        </w:rPr>
      </w:pPr>
      <w:r>
        <w:rPr>
          <w:rFonts w:cs="Times New Roman" w:hint="eastAsia"/>
          <w:szCs w:val="24"/>
        </w:rPr>
        <w:lastRenderedPageBreak/>
        <w:t>将原标准“</w:t>
      </w:r>
      <w:r>
        <w:rPr>
          <w:rFonts w:cs="Times New Roman" w:hint="eastAsia"/>
          <w:szCs w:val="24"/>
        </w:rPr>
        <w:t>4.10</w:t>
      </w:r>
      <w:r>
        <w:rPr>
          <w:rFonts w:cs="Times New Roman"/>
          <w:szCs w:val="24"/>
        </w:rPr>
        <w:t xml:space="preserve"> </w:t>
      </w:r>
      <w:r>
        <w:rPr>
          <w:rFonts w:cs="Times New Roman" w:hint="eastAsia"/>
          <w:szCs w:val="24"/>
        </w:rPr>
        <w:t>公共用品用具清洗消毒”的</w:t>
      </w:r>
      <w:r>
        <w:rPr>
          <w:rFonts w:cs="Times New Roman" w:hint="eastAsia"/>
          <w:szCs w:val="24"/>
        </w:rPr>
        <w:t>5</w:t>
      </w:r>
      <w:r>
        <w:rPr>
          <w:rFonts w:cs="Times New Roman" w:hint="eastAsia"/>
          <w:szCs w:val="24"/>
        </w:rPr>
        <w:t>条内容进行整体修改；结合征求意见专家建议，增加“杯具、拖鞋、美容美发工具、修脚工具等公共用具应在专用消毒间（消毒区）进行清洗消毒，保证消毒效果，清洗消毒后的公共用品用具应符合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有些住宿单位在客房内用便携式消毒柜消毒，杯具清洗都在洗脸盆中进行，这种情况无法保证消毒效果，如果此时该住宿场所消毒间也不完全停用，执法人员很难处理。增加上述要求后，作为强制性标准可以杜绝违规现象发生，执法人员可按不按要求清洗消毒进行行政处罚。</w:t>
      </w:r>
    </w:p>
    <w:p w14:paraId="62701498" w14:textId="77777777" w:rsidR="00D4394E" w:rsidRDefault="00000000">
      <w:pPr>
        <w:adjustRightInd w:val="0"/>
        <w:snapToGrid w:val="0"/>
        <w:spacing w:line="240" w:lineRule="auto"/>
        <w:ind w:firstLine="480"/>
        <w:rPr>
          <w:rFonts w:cs="Times New Roman"/>
          <w:szCs w:val="24"/>
        </w:rPr>
      </w:pPr>
      <w:r>
        <w:rPr>
          <w:rFonts w:cs="Times New Roman" w:hint="eastAsia"/>
          <w:szCs w:val="24"/>
        </w:rPr>
        <w:t>由于近年来消毒方法的更新，对消毒柜消毒和紫外线消毒方式补充和新增了管理要求，即“采用消毒柜消毒的，消毒柜应符合国家有关消毒产品卫生管理要求，产品标签标示规范，并按照使用说明操作；采用紫外线方法消毒应保证消毒时间、紫外线强度”。</w:t>
      </w:r>
    </w:p>
    <w:p w14:paraId="00D2E9EF" w14:textId="77777777" w:rsidR="00D4394E" w:rsidRDefault="00D4394E">
      <w:pPr>
        <w:adjustRightInd w:val="0"/>
        <w:snapToGrid w:val="0"/>
        <w:spacing w:line="240" w:lineRule="auto"/>
        <w:ind w:firstLine="480"/>
        <w:rPr>
          <w:rFonts w:cs="Times New Roman"/>
          <w:szCs w:val="24"/>
        </w:rPr>
      </w:pPr>
    </w:p>
    <w:p w14:paraId="366519B7"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4.2.5 </w:t>
      </w:r>
      <w:r>
        <w:rPr>
          <w:rFonts w:cs="Times New Roman" w:hint="eastAsia"/>
          <w:szCs w:val="24"/>
        </w:rPr>
        <w:t>合并原标准</w:t>
      </w:r>
      <w:r>
        <w:rPr>
          <w:rFonts w:cs="Times New Roman"/>
          <w:szCs w:val="24"/>
        </w:rPr>
        <w:t>4.3.4</w:t>
      </w:r>
      <w:r>
        <w:rPr>
          <w:rFonts w:cs="Times New Roman" w:hint="eastAsia"/>
          <w:szCs w:val="24"/>
        </w:rPr>
        <w:t>和</w:t>
      </w:r>
      <w:r>
        <w:rPr>
          <w:rFonts w:cs="Times New Roman"/>
          <w:szCs w:val="24"/>
        </w:rPr>
        <w:t>4.10.4</w:t>
      </w:r>
      <w:r>
        <w:rPr>
          <w:rFonts w:cs="Times New Roman" w:hint="eastAsia"/>
          <w:szCs w:val="24"/>
        </w:rPr>
        <w:t>的内容并简写。</w:t>
      </w:r>
    </w:p>
    <w:p w14:paraId="5F985B8B"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4.2.6 </w:t>
      </w:r>
      <w:r>
        <w:rPr>
          <w:rFonts w:cs="Times New Roman" w:hint="eastAsia"/>
          <w:szCs w:val="24"/>
        </w:rPr>
        <w:t>为原标准</w:t>
      </w:r>
      <w:r>
        <w:rPr>
          <w:rFonts w:cs="Times New Roman" w:hint="eastAsia"/>
          <w:szCs w:val="24"/>
        </w:rPr>
        <w:t>4.3.3</w:t>
      </w:r>
      <w:r>
        <w:rPr>
          <w:rFonts w:cs="Times New Roman" w:hint="eastAsia"/>
          <w:szCs w:val="24"/>
        </w:rPr>
        <w:t>的内容。</w:t>
      </w:r>
    </w:p>
    <w:p w14:paraId="72FCD589" w14:textId="77777777" w:rsidR="00D4394E" w:rsidRDefault="00D4394E">
      <w:pPr>
        <w:adjustRightInd w:val="0"/>
        <w:snapToGrid w:val="0"/>
        <w:spacing w:line="240" w:lineRule="auto"/>
        <w:ind w:firstLine="480"/>
        <w:rPr>
          <w:rFonts w:cs="Times New Roman"/>
          <w:szCs w:val="24"/>
        </w:rPr>
      </w:pPr>
    </w:p>
    <w:p w14:paraId="6898D424" w14:textId="77777777" w:rsidR="00D4394E" w:rsidRDefault="00000000">
      <w:pPr>
        <w:adjustRightInd w:val="0"/>
        <w:snapToGrid w:val="0"/>
        <w:spacing w:line="240" w:lineRule="auto"/>
        <w:ind w:firstLine="480"/>
        <w:rPr>
          <w:rFonts w:ascii="楷体" w:eastAsia="楷体" w:hAnsi="楷体" w:cs="楷体" w:hint="eastAsia"/>
          <w:b/>
          <w:bCs/>
          <w:szCs w:val="24"/>
        </w:rPr>
      </w:pPr>
      <w:r>
        <w:rPr>
          <w:rFonts w:ascii="楷体" w:eastAsia="楷体" w:hAnsi="楷体" w:cs="楷体"/>
          <w:b/>
          <w:bCs/>
          <w:szCs w:val="24"/>
        </w:rPr>
        <w:t xml:space="preserve">4.3 </w:t>
      </w:r>
      <w:r>
        <w:rPr>
          <w:rFonts w:ascii="楷体" w:eastAsia="楷体" w:hAnsi="楷体" w:cs="楷体" w:hint="eastAsia"/>
          <w:b/>
          <w:bCs/>
          <w:szCs w:val="24"/>
        </w:rPr>
        <w:t>公共卫生用品</w:t>
      </w:r>
    </w:p>
    <w:p w14:paraId="4A0F4E28" w14:textId="77777777" w:rsidR="00D4394E" w:rsidRDefault="00000000">
      <w:pPr>
        <w:adjustRightInd w:val="0"/>
        <w:snapToGrid w:val="0"/>
        <w:spacing w:line="240" w:lineRule="auto"/>
        <w:ind w:firstLine="480"/>
        <w:rPr>
          <w:rFonts w:ascii="楷体" w:eastAsia="楷体" w:hAnsi="楷体" w:cs="楷体" w:hint="eastAsia"/>
          <w:b/>
          <w:bCs/>
          <w:szCs w:val="24"/>
        </w:rPr>
      </w:pPr>
      <w:r>
        <w:rPr>
          <w:rFonts w:cs="Times New Roman" w:hint="eastAsia"/>
          <w:szCs w:val="24"/>
        </w:rPr>
        <w:t>按照术语定义，将卫生相关产品统一改为公共卫生用品。</w:t>
      </w:r>
    </w:p>
    <w:p w14:paraId="48362FA5" w14:textId="77777777" w:rsidR="00D4394E" w:rsidRDefault="00000000">
      <w:pPr>
        <w:adjustRightInd w:val="0"/>
        <w:snapToGrid w:val="0"/>
        <w:spacing w:line="240" w:lineRule="auto"/>
        <w:ind w:firstLine="480"/>
        <w:rPr>
          <w:rFonts w:ascii="楷体" w:eastAsia="楷体" w:hAnsi="楷体" w:cs="楷体" w:hint="eastAsia"/>
          <w:b/>
          <w:bCs/>
          <w:szCs w:val="24"/>
        </w:rPr>
      </w:pPr>
      <w:r>
        <w:rPr>
          <w:rFonts w:cs="Times New Roman"/>
          <w:szCs w:val="24"/>
        </w:rPr>
        <w:t xml:space="preserve">4.3.1 </w:t>
      </w:r>
      <w:r>
        <w:rPr>
          <w:rFonts w:cs="Times New Roman" w:hint="eastAsia"/>
          <w:szCs w:val="24"/>
        </w:rPr>
        <w:t>公共场所配置的公共卫生用品的质量应符合国家相关规定，不得购买、使用过期产品、伪劣产品、无证产品。</w:t>
      </w:r>
    </w:p>
    <w:p w14:paraId="61CEA1FC"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4F29209B" w14:textId="77777777" w:rsidR="00D4394E" w:rsidRDefault="00000000">
      <w:pPr>
        <w:adjustRightInd w:val="0"/>
        <w:snapToGrid w:val="0"/>
        <w:spacing w:line="240" w:lineRule="auto"/>
        <w:ind w:firstLine="480"/>
      </w:pPr>
      <w:r>
        <w:rPr>
          <w:rFonts w:cs="Times New Roman" w:hint="eastAsia"/>
          <w:szCs w:val="24"/>
        </w:rPr>
        <w:t>原标准</w:t>
      </w:r>
      <w:r>
        <w:rPr>
          <w:rFonts w:cs="Times New Roman" w:hint="eastAsia"/>
          <w:szCs w:val="24"/>
        </w:rPr>
        <w:t>4.8.1</w:t>
      </w:r>
      <w:r>
        <w:rPr>
          <w:rFonts w:cs="Times New Roman" w:hint="eastAsia"/>
          <w:szCs w:val="24"/>
        </w:rPr>
        <w:t>中“使用的消毒产品、涉水产品、杀虫剂、灭鼠剂、避孕套、洗发液、沐浴液、烫发剂、染发剂和美容护肤类化妆品等”修改为“</w:t>
      </w:r>
      <w:r>
        <w:rPr>
          <w:rFonts w:cs="Times New Roman"/>
          <w:szCs w:val="24"/>
        </w:rPr>
        <w:t xml:space="preserve">4.3.1 </w:t>
      </w:r>
      <w:r>
        <w:rPr>
          <w:rFonts w:hint="eastAsia"/>
        </w:rPr>
        <w:t>公共场所配置的</w:t>
      </w:r>
      <w:r>
        <w:rPr>
          <w:rFonts w:cs="Times New Roman" w:hint="eastAsia"/>
          <w:szCs w:val="24"/>
        </w:rPr>
        <w:t>公共卫生用品</w:t>
      </w:r>
      <w:r>
        <w:rPr>
          <w:rFonts w:cs="Times New Roman" w:hint="eastAsia"/>
          <w:szCs w:val="24"/>
        </w:rPr>
        <w:t>......</w:t>
      </w:r>
      <w:r>
        <w:rPr>
          <w:rFonts w:cs="Times New Roman" w:hint="eastAsia"/>
          <w:szCs w:val="24"/>
        </w:rPr>
        <w:t>”</w:t>
      </w:r>
      <w:r>
        <w:rPr>
          <w:rFonts w:hint="eastAsia"/>
        </w:rPr>
        <w:t>。另外，无证产品有可能质量符合国家相关规定，但属于非法产品，因此列入不得购买使用的范围。</w:t>
      </w:r>
    </w:p>
    <w:p w14:paraId="77D4AEE6" w14:textId="77777777" w:rsidR="00D4394E" w:rsidRDefault="00D4394E">
      <w:pPr>
        <w:adjustRightInd w:val="0"/>
        <w:snapToGrid w:val="0"/>
        <w:spacing w:line="240" w:lineRule="auto"/>
        <w:ind w:firstLine="480"/>
      </w:pPr>
    </w:p>
    <w:p w14:paraId="3546B088" w14:textId="77777777" w:rsidR="00D4394E" w:rsidRDefault="00000000">
      <w:pPr>
        <w:adjustRightInd w:val="0"/>
        <w:snapToGrid w:val="0"/>
        <w:spacing w:line="240" w:lineRule="auto"/>
        <w:ind w:firstLine="480"/>
        <w:rPr>
          <w:rFonts w:cs="Times New Roman"/>
          <w:szCs w:val="24"/>
        </w:rPr>
      </w:pPr>
      <w:r>
        <w:rPr>
          <w:rFonts w:cs="Times New Roman"/>
          <w:szCs w:val="24"/>
        </w:rPr>
        <w:t>4.3.2</w:t>
      </w:r>
      <w:r>
        <w:rPr>
          <w:rFonts w:cs="Times New Roman" w:hint="eastAsia"/>
          <w:szCs w:val="24"/>
        </w:rPr>
        <w:t xml:space="preserve"> </w:t>
      </w:r>
      <w:r>
        <w:rPr>
          <w:rFonts w:cs="Times New Roman" w:hint="eastAsia"/>
          <w:szCs w:val="24"/>
        </w:rPr>
        <w:t>合并原标准</w:t>
      </w:r>
      <w:r>
        <w:rPr>
          <w:rFonts w:cs="Times New Roman" w:hint="eastAsia"/>
          <w:szCs w:val="24"/>
        </w:rPr>
        <w:t>4.1.1</w:t>
      </w:r>
      <w:r>
        <w:rPr>
          <w:rFonts w:cs="Times New Roman" w:hint="eastAsia"/>
          <w:szCs w:val="24"/>
        </w:rPr>
        <w:t>和</w:t>
      </w:r>
      <w:r>
        <w:rPr>
          <w:rFonts w:cs="Times New Roman" w:hint="eastAsia"/>
          <w:szCs w:val="24"/>
        </w:rPr>
        <w:t>4.1.2</w:t>
      </w:r>
      <w:r>
        <w:rPr>
          <w:rFonts w:cs="Times New Roman" w:hint="eastAsia"/>
          <w:szCs w:val="24"/>
        </w:rPr>
        <w:t>的内容。</w:t>
      </w:r>
    </w:p>
    <w:p w14:paraId="73EF185C"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4.3.3 </w:t>
      </w:r>
      <w:r>
        <w:rPr>
          <w:rFonts w:cs="Times New Roman" w:hint="eastAsia"/>
          <w:szCs w:val="24"/>
        </w:rPr>
        <w:t>合并原标准</w:t>
      </w:r>
      <w:r>
        <w:rPr>
          <w:rFonts w:cs="Times New Roman" w:hint="eastAsia"/>
          <w:szCs w:val="24"/>
        </w:rPr>
        <w:t>4.2.2</w:t>
      </w:r>
      <w:r>
        <w:rPr>
          <w:rFonts w:cs="Times New Roman" w:hint="eastAsia"/>
          <w:szCs w:val="24"/>
        </w:rPr>
        <w:t>和</w:t>
      </w:r>
      <w:r>
        <w:rPr>
          <w:rFonts w:cs="Times New Roman" w:hint="eastAsia"/>
          <w:szCs w:val="24"/>
        </w:rPr>
        <w:t>4.2.4</w:t>
      </w:r>
      <w:r>
        <w:rPr>
          <w:rFonts w:cs="Times New Roman" w:hint="eastAsia"/>
          <w:szCs w:val="24"/>
        </w:rPr>
        <w:t>的内容。</w:t>
      </w:r>
    </w:p>
    <w:p w14:paraId="36868226"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4.3.4 </w:t>
      </w:r>
      <w:r>
        <w:rPr>
          <w:rFonts w:cs="Times New Roman" w:hint="eastAsia"/>
          <w:szCs w:val="24"/>
        </w:rPr>
        <w:t>为原标准</w:t>
      </w:r>
      <w:r>
        <w:rPr>
          <w:rFonts w:cs="Times New Roman" w:hint="eastAsia"/>
          <w:szCs w:val="24"/>
        </w:rPr>
        <w:t>4.8.2</w:t>
      </w:r>
      <w:r>
        <w:rPr>
          <w:rFonts w:cs="Times New Roman" w:hint="eastAsia"/>
          <w:szCs w:val="24"/>
        </w:rPr>
        <w:t>的内容。</w:t>
      </w:r>
    </w:p>
    <w:p w14:paraId="613BC80A" w14:textId="77777777" w:rsidR="00D4394E" w:rsidRDefault="00D4394E">
      <w:pPr>
        <w:adjustRightInd w:val="0"/>
        <w:snapToGrid w:val="0"/>
        <w:spacing w:line="240" w:lineRule="auto"/>
        <w:ind w:firstLine="480"/>
        <w:rPr>
          <w:rFonts w:cs="Times New Roman"/>
          <w:szCs w:val="24"/>
        </w:rPr>
      </w:pPr>
    </w:p>
    <w:p w14:paraId="4D761879"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4.4 </w:t>
      </w:r>
      <w:r>
        <w:rPr>
          <w:rFonts w:ascii="楷体" w:eastAsia="楷体" w:hAnsi="楷体" w:cs="楷体" w:hint="eastAsia"/>
          <w:b/>
          <w:bCs/>
          <w:szCs w:val="24"/>
        </w:rPr>
        <w:t>通风与空调</w:t>
      </w:r>
    </w:p>
    <w:p w14:paraId="4695C8E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7B4A064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4.4</w:t>
      </w:r>
      <w:r>
        <w:rPr>
          <w:rFonts w:cs="Times New Roman"/>
          <w:szCs w:val="24"/>
        </w:rPr>
        <w:t xml:space="preserve"> </w:t>
      </w:r>
      <w:r>
        <w:rPr>
          <w:rFonts w:cs="Times New Roman" w:hint="eastAsia"/>
          <w:szCs w:val="24"/>
        </w:rPr>
        <w:t>通风换气”、“</w:t>
      </w:r>
      <w:r>
        <w:rPr>
          <w:rFonts w:cs="Times New Roman" w:hint="eastAsia"/>
          <w:szCs w:val="24"/>
        </w:rPr>
        <w:t>4.5</w:t>
      </w:r>
      <w:r>
        <w:rPr>
          <w:rFonts w:cs="Times New Roman"/>
          <w:szCs w:val="24"/>
        </w:rPr>
        <w:t xml:space="preserve"> </w:t>
      </w:r>
      <w:r>
        <w:rPr>
          <w:rFonts w:cs="Times New Roman" w:hint="eastAsia"/>
          <w:szCs w:val="24"/>
        </w:rPr>
        <w:t>空调设施”</w:t>
      </w:r>
      <w:r>
        <w:rPr>
          <w:rFonts w:cs="Times New Roman" w:hint="eastAsia"/>
          <w:szCs w:val="24"/>
        </w:rPr>
        <w:t>2</w:t>
      </w:r>
      <w:r>
        <w:rPr>
          <w:rFonts w:cs="Times New Roman" w:hint="eastAsia"/>
          <w:szCs w:val="24"/>
        </w:rPr>
        <w:t>个部分</w:t>
      </w:r>
      <w:r>
        <w:rPr>
          <w:rFonts w:cs="Times New Roman" w:hint="eastAsia"/>
          <w:szCs w:val="24"/>
        </w:rPr>
        <w:t>9</w:t>
      </w:r>
      <w:r>
        <w:rPr>
          <w:rFonts w:cs="Times New Roman" w:hint="eastAsia"/>
          <w:szCs w:val="24"/>
        </w:rPr>
        <w:t>条进行合并，删除</w:t>
      </w:r>
      <w:r>
        <w:rPr>
          <w:rFonts w:cs="Times New Roman" w:hint="eastAsia"/>
          <w:szCs w:val="24"/>
        </w:rPr>
        <w:t>2</w:t>
      </w:r>
      <w:r>
        <w:rPr>
          <w:rFonts w:cs="Times New Roman" w:hint="eastAsia"/>
          <w:szCs w:val="24"/>
        </w:rPr>
        <w:t>条与公共场所设计相关内容（原标准</w:t>
      </w:r>
      <w:r>
        <w:rPr>
          <w:rFonts w:cs="Times New Roman" w:hint="eastAsia"/>
          <w:szCs w:val="24"/>
        </w:rPr>
        <w:t>4.4.4</w:t>
      </w:r>
      <w:r>
        <w:rPr>
          <w:rFonts w:cs="Times New Roman" w:hint="eastAsia"/>
          <w:szCs w:val="24"/>
        </w:rPr>
        <w:t>和</w:t>
      </w:r>
      <w:r>
        <w:rPr>
          <w:rFonts w:cs="Times New Roman" w:hint="eastAsia"/>
          <w:szCs w:val="24"/>
        </w:rPr>
        <w:t>4.4.5</w:t>
      </w:r>
      <w:r>
        <w:rPr>
          <w:rFonts w:cs="Times New Roman" w:hint="eastAsia"/>
          <w:szCs w:val="24"/>
        </w:rPr>
        <w:t>），合并</w:t>
      </w:r>
      <w:r>
        <w:rPr>
          <w:rFonts w:cs="Times New Roman" w:hint="eastAsia"/>
          <w:szCs w:val="24"/>
        </w:rPr>
        <w:t>2</w:t>
      </w:r>
      <w:r>
        <w:rPr>
          <w:rFonts w:cs="Times New Roman" w:hint="eastAsia"/>
          <w:szCs w:val="24"/>
        </w:rPr>
        <w:t>条内容（原</w:t>
      </w:r>
      <w:r>
        <w:rPr>
          <w:rFonts w:cs="Times New Roman" w:hint="eastAsia"/>
          <w:szCs w:val="24"/>
        </w:rPr>
        <w:t>4.4.2</w:t>
      </w:r>
      <w:r>
        <w:rPr>
          <w:rFonts w:cs="Times New Roman" w:hint="eastAsia"/>
          <w:szCs w:val="24"/>
        </w:rPr>
        <w:t>和</w:t>
      </w:r>
      <w:r>
        <w:rPr>
          <w:rFonts w:cs="Times New Roman" w:hint="eastAsia"/>
          <w:szCs w:val="24"/>
        </w:rPr>
        <w:t>4.5.1</w:t>
      </w:r>
      <w:r>
        <w:rPr>
          <w:rFonts w:cs="Times New Roman" w:hint="eastAsia"/>
          <w:szCs w:val="24"/>
        </w:rPr>
        <w:t>、原</w:t>
      </w:r>
      <w:r>
        <w:rPr>
          <w:rFonts w:cs="Times New Roman" w:hint="eastAsia"/>
          <w:szCs w:val="24"/>
        </w:rPr>
        <w:t>4.5.2</w:t>
      </w:r>
      <w:r>
        <w:rPr>
          <w:rFonts w:cs="Times New Roman" w:hint="eastAsia"/>
          <w:szCs w:val="24"/>
        </w:rPr>
        <w:t>和</w:t>
      </w:r>
      <w:r>
        <w:rPr>
          <w:rFonts w:cs="Times New Roman" w:hint="eastAsia"/>
          <w:szCs w:val="24"/>
        </w:rPr>
        <w:t>4.5.3</w:t>
      </w:r>
      <w:r>
        <w:rPr>
          <w:rFonts w:cs="Times New Roman" w:hint="eastAsia"/>
          <w:szCs w:val="24"/>
        </w:rPr>
        <w:t>）。将原标准“</w:t>
      </w:r>
      <w:r>
        <w:rPr>
          <w:rFonts w:cs="Times New Roman" w:hint="eastAsia"/>
          <w:szCs w:val="24"/>
        </w:rPr>
        <w:t>4.5.2</w:t>
      </w:r>
      <w:r>
        <w:rPr>
          <w:rFonts w:cs="Times New Roman"/>
          <w:szCs w:val="24"/>
        </w:rPr>
        <w:t xml:space="preserve"> </w:t>
      </w:r>
      <w:r>
        <w:rPr>
          <w:rFonts w:cs="Times New Roman" w:hint="eastAsia"/>
          <w:szCs w:val="24"/>
        </w:rPr>
        <w:t>壁挂式、吸顶式、柜式、窗式等”修改为“使用分散式空调设施”；将原标准“</w:t>
      </w:r>
      <w:r>
        <w:rPr>
          <w:rFonts w:cs="Times New Roman" w:hint="eastAsia"/>
          <w:szCs w:val="24"/>
        </w:rPr>
        <w:t>4.5.3</w:t>
      </w:r>
      <w:r>
        <w:rPr>
          <w:rFonts w:cs="Times New Roman"/>
          <w:szCs w:val="24"/>
        </w:rPr>
        <w:t xml:space="preserve"> </w:t>
      </w:r>
      <w:r>
        <w:rPr>
          <w:rFonts w:cs="Times New Roman" w:hint="eastAsia"/>
          <w:szCs w:val="24"/>
        </w:rPr>
        <w:t>不得有积尘”合并至</w:t>
      </w:r>
      <w:r>
        <w:rPr>
          <w:rFonts w:cs="Times New Roman" w:hint="eastAsia"/>
          <w:szCs w:val="24"/>
        </w:rPr>
        <w:t>4.1</w:t>
      </w:r>
      <w:r>
        <w:rPr>
          <w:rFonts w:cs="Times New Roman" w:hint="eastAsia"/>
          <w:szCs w:val="24"/>
        </w:rPr>
        <w:t>。合并后重新修改条款顺序，使之逻辑性更为合理；将原标准“</w:t>
      </w:r>
      <w:r>
        <w:rPr>
          <w:rFonts w:cs="Times New Roman" w:hint="eastAsia"/>
          <w:szCs w:val="24"/>
        </w:rPr>
        <w:t>4.4.6</w:t>
      </w:r>
      <w:r>
        <w:rPr>
          <w:rFonts w:cs="Times New Roman"/>
          <w:szCs w:val="24"/>
        </w:rPr>
        <w:t xml:space="preserve"> </w:t>
      </w:r>
      <w:r>
        <w:rPr>
          <w:rFonts w:cs="Times New Roman" w:hint="eastAsia"/>
          <w:szCs w:val="24"/>
        </w:rPr>
        <w:t>公共场所禁止吸烟，禁烟管理应符合国家相关法律法规的规定。”修改至</w:t>
      </w:r>
      <w:r>
        <w:rPr>
          <w:rFonts w:cs="Times New Roman" w:hint="eastAsia"/>
          <w:szCs w:val="24"/>
        </w:rPr>
        <w:t>4.1</w:t>
      </w:r>
      <w:r>
        <w:rPr>
          <w:rFonts w:cs="Times New Roman" w:hint="eastAsia"/>
          <w:szCs w:val="24"/>
        </w:rPr>
        <w:t>总体要求；新增室内空气污染防控措施为</w:t>
      </w:r>
      <w:r>
        <w:rPr>
          <w:rFonts w:cs="Times New Roman" w:hint="eastAsia"/>
          <w:szCs w:val="24"/>
        </w:rPr>
        <w:t>4.</w:t>
      </w:r>
      <w:r>
        <w:rPr>
          <w:rFonts w:cs="Times New Roman"/>
          <w:szCs w:val="24"/>
        </w:rPr>
        <w:t>4</w:t>
      </w:r>
      <w:r>
        <w:rPr>
          <w:rFonts w:cs="Times New Roman" w:hint="eastAsia"/>
          <w:szCs w:val="24"/>
        </w:rPr>
        <w:t>.5</w:t>
      </w:r>
      <w:r>
        <w:rPr>
          <w:rFonts w:cs="Times New Roman" w:hint="eastAsia"/>
          <w:szCs w:val="24"/>
        </w:rPr>
        <w:t>条。修订后“</w:t>
      </w:r>
      <w:r>
        <w:rPr>
          <w:rFonts w:cs="Times New Roman" w:hint="eastAsia"/>
          <w:szCs w:val="24"/>
        </w:rPr>
        <w:t>4.</w:t>
      </w:r>
      <w:r>
        <w:rPr>
          <w:rFonts w:cs="Times New Roman"/>
          <w:szCs w:val="24"/>
        </w:rPr>
        <w:t>4</w:t>
      </w:r>
      <w:r>
        <w:rPr>
          <w:rFonts w:cs="Times New Roman" w:hint="eastAsia"/>
          <w:szCs w:val="24"/>
        </w:rPr>
        <w:t xml:space="preserve"> </w:t>
      </w:r>
      <w:r>
        <w:rPr>
          <w:rFonts w:cs="Times New Roman" w:hint="eastAsia"/>
          <w:szCs w:val="24"/>
        </w:rPr>
        <w:t>通风与空调”共</w:t>
      </w:r>
      <w:r>
        <w:rPr>
          <w:rFonts w:cs="Times New Roman" w:hint="eastAsia"/>
          <w:szCs w:val="24"/>
        </w:rPr>
        <w:t>5</w:t>
      </w:r>
      <w:r>
        <w:rPr>
          <w:rFonts w:cs="Times New Roman" w:hint="eastAsia"/>
          <w:szCs w:val="24"/>
        </w:rPr>
        <w:t>条条款。将部分条款修改方法理由简述如下：</w:t>
      </w:r>
    </w:p>
    <w:p w14:paraId="61E0F936"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4.4.1 </w:t>
      </w:r>
      <w:r>
        <w:rPr>
          <w:rFonts w:cs="Times New Roman" w:hint="eastAsia"/>
          <w:szCs w:val="24"/>
        </w:rPr>
        <w:t>公共场所应充分利用门窗进行自然通风。</w:t>
      </w:r>
    </w:p>
    <w:p w14:paraId="0EC577D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48934A2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保留了原标准</w:t>
      </w:r>
      <w:r>
        <w:rPr>
          <w:rFonts w:cs="Times New Roman" w:hint="eastAsia"/>
          <w:szCs w:val="24"/>
        </w:rPr>
        <w:t>4.4.1</w:t>
      </w:r>
      <w:r>
        <w:rPr>
          <w:rFonts w:cs="Times New Roman" w:hint="eastAsia"/>
          <w:szCs w:val="24"/>
        </w:rPr>
        <w:t>“公共场所应充分利用门窗进行自然通风，保持室内空气清新、无异味。”前半部分内容。</w:t>
      </w:r>
    </w:p>
    <w:p w14:paraId="5591565F" w14:textId="77777777" w:rsidR="00D4394E" w:rsidRDefault="00D4394E">
      <w:pPr>
        <w:adjustRightInd w:val="0"/>
        <w:snapToGrid w:val="0"/>
        <w:spacing w:line="240" w:lineRule="auto"/>
        <w:ind w:firstLineChars="200" w:firstLine="480"/>
        <w:rPr>
          <w:rFonts w:cs="Times New Roman"/>
          <w:szCs w:val="24"/>
        </w:rPr>
      </w:pPr>
    </w:p>
    <w:p w14:paraId="43AB52ED"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lastRenderedPageBreak/>
        <w:t xml:space="preserve">4.4.2 </w:t>
      </w:r>
      <w:r>
        <w:rPr>
          <w:rFonts w:cs="Times New Roman" w:hint="eastAsia"/>
          <w:szCs w:val="24"/>
        </w:rPr>
        <w:t>人群密度高、自然通风条件不良、营业期间不便于采用自然通风方式的室内场所应安装机械通风设施，营业期间保持正常使用，新风量应符合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p>
    <w:p w14:paraId="1E9934D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768C5D9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hint="eastAsia"/>
          <w:szCs w:val="24"/>
        </w:rPr>
        <w:t>4.4.3</w:t>
      </w:r>
      <w:r>
        <w:rPr>
          <w:rFonts w:cs="Times New Roman"/>
          <w:szCs w:val="24"/>
        </w:rPr>
        <w:t xml:space="preserve"> </w:t>
      </w:r>
      <w:r>
        <w:rPr>
          <w:rFonts w:cs="Times New Roman" w:hint="eastAsia"/>
          <w:szCs w:val="24"/>
        </w:rPr>
        <w:t>人群密度高、自然通风条件不良、营业期间不便于采用自然通风方式的场所应安装机械排风系统或设施，营业期间保持正常使用，新风量应符合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要求。”基础上将“机械排风”修改为“机械通风”。</w:t>
      </w:r>
    </w:p>
    <w:p w14:paraId="01F03D8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机械排风”仅强调了空气的“排出”功能，而“机械通风”是一个更上位、更全面的概念，它包含了利用机械设备进行“送风（送入新风）”和“排风（排出废气）”的完整循环过程。这一修改确保了技术术语的准确性。在《民用建筑供暖通风与空气调节设计规范》（</w:t>
      </w:r>
      <w:r>
        <w:rPr>
          <w:rFonts w:cs="Times New Roman" w:hint="eastAsia"/>
          <w:szCs w:val="24"/>
        </w:rPr>
        <w:t>GB</w:t>
      </w:r>
      <w:r>
        <w:rPr>
          <w:rFonts w:cs="Times New Roman"/>
          <w:szCs w:val="24"/>
        </w:rPr>
        <w:t xml:space="preserve"> </w:t>
      </w:r>
      <w:r>
        <w:rPr>
          <w:rFonts w:cs="Times New Roman" w:hint="eastAsia"/>
          <w:szCs w:val="24"/>
        </w:rPr>
        <w:t>50736</w:t>
      </w:r>
      <w:r>
        <w:rPr>
          <w:rFonts w:cs="Times New Roman" w:hint="eastAsia"/>
          <w:szCs w:val="24"/>
        </w:rPr>
        <w:t>）等国家标准中，普遍采用“机械通风”作为标准术语来指代由风机驱动的强制通风方式。使用“机械通风”可避免公共场所经营者可能产生的误解，即只注重排风而忽略补充新风，从而更全面地指导实践，确保室内空气质量真正得到改善。</w:t>
      </w:r>
    </w:p>
    <w:p w14:paraId="7874663C" w14:textId="77777777" w:rsidR="00D4394E" w:rsidRDefault="00D4394E">
      <w:pPr>
        <w:adjustRightInd w:val="0"/>
        <w:snapToGrid w:val="0"/>
        <w:spacing w:line="240" w:lineRule="auto"/>
        <w:ind w:firstLineChars="200" w:firstLine="480"/>
        <w:rPr>
          <w:rFonts w:cs="Times New Roman"/>
          <w:szCs w:val="24"/>
        </w:rPr>
      </w:pPr>
    </w:p>
    <w:p w14:paraId="24830CFA"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4.4.3 </w:t>
      </w:r>
      <w:r>
        <w:rPr>
          <w:rFonts w:cs="Times New Roman" w:hint="eastAsia"/>
          <w:szCs w:val="24"/>
        </w:rPr>
        <w:t>使用集中空调的室内场所，空调运行期间新风系统、排风系统或设施应正常使用，卫生指标及卫生管理应符合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和</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要求。</w:t>
      </w:r>
    </w:p>
    <w:p w14:paraId="5295A31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519DB19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4.4.2</w:t>
      </w:r>
      <w:r>
        <w:rPr>
          <w:rFonts w:cs="Times New Roman"/>
          <w:szCs w:val="24"/>
        </w:rPr>
        <w:t xml:space="preserve"> </w:t>
      </w:r>
      <w:r>
        <w:rPr>
          <w:rFonts w:cs="Times New Roman" w:hint="eastAsia"/>
          <w:szCs w:val="24"/>
        </w:rPr>
        <w:t>使用集中空调的场所，空调运行期间新风系统、排风系统或设施应正常使用。”和“</w:t>
      </w:r>
      <w:r>
        <w:rPr>
          <w:rFonts w:cs="Times New Roman" w:hint="eastAsia"/>
          <w:szCs w:val="24"/>
        </w:rPr>
        <w:t>4.5.1</w:t>
      </w:r>
      <w:r>
        <w:rPr>
          <w:rFonts w:cs="Times New Roman"/>
          <w:szCs w:val="24"/>
        </w:rPr>
        <w:t xml:space="preserve"> </w:t>
      </w:r>
      <w:r>
        <w:rPr>
          <w:rFonts w:cs="Times New Roman" w:hint="eastAsia"/>
          <w:szCs w:val="24"/>
        </w:rPr>
        <w:t>使用集中空调的场所，卫生指标及卫生管理应符合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和</w:t>
      </w:r>
      <w:r>
        <w:rPr>
          <w:rFonts w:cs="Times New Roman" w:hint="eastAsia"/>
          <w:szCs w:val="24"/>
        </w:rPr>
        <w:t>WS</w:t>
      </w:r>
      <w:r>
        <w:rPr>
          <w:rFonts w:cs="Times New Roman"/>
          <w:szCs w:val="24"/>
        </w:rPr>
        <w:t xml:space="preserve"> </w:t>
      </w:r>
      <w:r>
        <w:rPr>
          <w:rFonts w:cs="Times New Roman" w:hint="eastAsia"/>
          <w:szCs w:val="24"/>
        </w:rPr>
        <w:t>394</w:t>
      </w:r>
      <w:r>
        <w:rPr>
          <w:rFonts w:cs="Times New Roman" w:hint="eastAsia"/>
          <w:szCs w:val="24"/>
        </w:rPr>
        <w:t>要求。”的内容进行合并，并将</w:t>
      </w:r>
      <w:r>
        <w:rPr>
          <w:rFonts w:cs="Times New Roman"/>
          <w:szCs w:val="24"/>
        </w:rPr>
        <w:t>WS 394</w:t>
      </w:r>
      <w:r>
        <w:rPr>
          <w:rFonts w:cs="Times New Roman" w:hint="eastAsia"/>
          <w:szCs w:val="24"/>
        </w:rPr>
        <w:t>修改为</w:t>
      </w:r>
      <w:r>
        <w:rPr>
          <w:rFonts w:cs="Times New Roman"/>
          <w:szCs w:val="24"/>
        </w:rPr>
        <w:t>WS 10013</w:t>
      </w:r>
      <w:r>
        <w:rPr>
          <w:rFonts w:cs="Times New Roman" w:hint="eastAsia"/>
          <w:szCs w:val="24"/>
        </w:rPr>
        <w:t>。</w:t>
      </w:r>
    </w:p>
    <w:p w14:paraId="29B3F090" w14:textId="77777777" w:rsidR="00D4394E" w:rsidRDefault="00D4394E">
      <w:pPr>
        <w:adjustRightInd w:val="0"/>
        <w:snapToGrid w:val="0"/>
        <w:spacing w:line="240" w:lineRule="auto"/>
        <w:ind w:firstLineChars="200" w:firstLine="480"/>
        <w:rPr>
          <w:rFonts w:cs="Times New Roman"/>
          <w:szCs w:val="24"/>
        </w:rPr>
      </w:pPr>
    </w:p>
    <w:p w14:paraId="772088F2"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4.4.4 </w:t>
      </w:r>
      <w:r>
        <w:rPr>
          <w:rFonts w:cs="Times New Roman" w:hint="eastAsia"/>
          <w:szCs w:val="24"/>
        </w:rPr>
        <w:t>使用分散式空调设施的室内场所，机械通风设施营业期间正常使用。分散式空调设施室内机组的滤网和散流罩应定期清洗、消毒</w:t>
      </w:r>
      <w:r>
        <w:rPr>
          <w:rFonts w:cs="Times New Roman" w:hint="eastAsia"/>
          <w:szCs w:val="24"/>
        </w:rPr>
        <w:t>,</w:t>
      </w:r>
      <w:r>
        <w:rPr>
          <w:rFonts w:cs="Times New Roman" w:hint="eastAsia"/>
          <w:szCs w:val="24"/>
        </w:rPr>
        <w:t>每年至少一次。</w:t>
      </w:r>
    </w:p>
    <w:p w14:paraId="3632947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4D75758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4.5.2</w:t>
      </w:r>
      <w:r>
        <w:rPr>
          <w:rFonts w:cs="Times New Roman"/>
          <w:szCs w:val="24"/>
        </w:rPr>
        <w:t xml:space="preserve"> </w:t>
      </w:r>
      <w:r>
        <w:rPr>
          <w:rFonts w:cs="Times New Roman" w:hint="eastAsia"/>
          <w:szCs w:val="24"/>
        </w:rPr>
        <w:t>使用壁挂式、吸顶式、柜式、窗式等分散式空调设施的场所，宜设置与经营规模相适应的机械通风系统或设施，营业期间正常使用。”和“</w:t>
      </w:r>
      <w:r>
        <w:rPr>
          <w:rFonts w:cs="Times New Roman" w:hint="eastAsia"/>
          <w:szCs w:val="24"/>
        </w:rPr>
        <w:t>4.5.3</w:t>
      </w:r>
      <w:r>
        <w:rPr>
          <w:rFonts w:cs="Times New Roman"/>
          <w:szCs w:val="24"/>
        </w:rPr>
        <w:t xml:space="preserve"> </w:t>
      </w:r>
      <w:r>
        <w:rPr>
          <w:rFonts w:cs="Times New Roman" w:hint="eastAsia"/>
          <w:szCs w:val="24"/>
        </w:rPr>
        <w:t>分散式空调设施室内机组的滤网和散流罩应定期保洁，不得有积尘。”进行合并，改为使用分散式空调设施，并将定期保洁，改为“</w:t>
      </w:r>
      <w:r>
        <w:rPr>
          <w:rFonts w:hint="eastAsia"/>
        </w:rPr>
        <w:t>定期清洗、消毒</w:t>
      </w:r>
      <w:r>
        <w:rPr>
          <w:rFonts w:hint="eastAsia"/>
        </w:rPr>
        <w:t>,</w:t>
      </w:r>
      <w:r>
        <w:rPr>
          <w:rFonts w:hint="eastAsia"/>
        </w:rPr>
        <w:t>每年至少一次。</w:t>
      </w:r>
      <w:r>
        <w:rPr>
          <w:rFonts w:cs="Times New Roman" w:hint="eastAsia"/>
          <w:szCs w:val="24"/>
        </w:rPr>
        <w:t>”</w:t>
      </w:r>
    </w:p>
    <w:p w14:paraId="2E2A00DA" w14:textId="77777777" w:rsidR="00D4394E" w:rsidRDefault="00D4394E">
      <w:pPr>
        <w:adjustRightInd w:val="0"/>
        <w:snapToGrid w:val="0"/>
        <w:spacing w:line="240" w:lineRule="auto"/>
        <w:ind w:firstLineChars="200" w:firstLine="480"/>
        <w:rPr>
          <w:rFonts w:cs="Times New Roman"/>
          <w:szCs w:val="24"/>
        </w:rPr>
      </w:pPr>
    </w:p>
    <w:p w14:paraId="1C6F7201"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4.5 </w:t>
      </w:r>
      <w:r>
        <w:rPr>
          <w:rFonts w:ascii="楷体" w:eastAsia="楷体" w:hAnsi="楷体" w:cs="楷体" w:hint="eastAsia"/>
          <w:b/>
          <w:bCs/>
          <w:szCs w:val="24"/>
        </w:rPr>
        <w:t>生活饮用水</w:t>
      </w:r>
    </w:p>
    <w:p w14:paraId="7A755CC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037595B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基本保留原标准“</w:t>
      </w:r>
      <w:r>
        <w:rPr>
          <w:rFonts w:cs="Times New Roman" w:hint="eastAsia"/>
          <w:szCs w:val="24"/>
        </w:rPr>
        <w:t>4.6</w:t>
      </w:r>
      <w:r>
        <w:rPr>
          <w:rFonts w:cs="Times New Roman"/>
          <w:szCs w:val="24"/>
        </w:rPr>
        <w:t xml:space="preserve"> </w:t>
      </w:r>
      <w:r>
        <w:rPr>
          <w:rFonts w:cs="Times New Roman" w:hint="eastAsia"/>
          <w:szCs w:val="24"/>
        </w:rPr>
        <w:t>生活饮用水”内容，将部分内容进行提炼合并，由</w:t>
      </w:r>
      <w:r>
        <w:rPr>
          <w:rFonts w:cs="Times New Roman" w:hint="eastAsia"/>
          <w:szCs w:val="24"/>
        </w:rPr>
        <w:t>5</w:t>
      </w:r>
      <w:r>
        <w:rPr>
          <w:rFonts w:cs="Times New Roman" w:hint="eastAsia"/>
          <w:szCs w:val="24"/>
        </w:rPr>
        <w:t>条凝练为</w:t>
      </w:r>
      <w:r>
        <w:rPr>
          <w:rFonts w:cs="Times New Roman" w:hint="eastAsia"/>
          <w:szCs w:val="24"/>
        </w:rPr>
        <w:t>4</w:t>
      </w:r>
      <w:r>
        <w:rPr>
          <w:rFonts w:cs="Times New Roman" w:hint="eastAsia"/>
          <w:szCs w:val="24"/>
        </w:rPr>
        <w:t>条。将部分条款修改方法理由简述如下：</w:t>
      </w:r>
    </w:p>
    <w:p w14:paraId="50FD495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4.5.1 </w:t>
      </w:r>
      <w:r>
        <w:rPr>
          <w:rFonts w:cs="Times New Roman" w:hint="eastAsia"/>
          <w:szCs w:val="24"/>
        </w:rPr>
        <w:t>公共场所提供的生活饮用水水质应符合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w:t>
      </w:r>
    </w:p>
    <w:p w14:paraId="1FF3BA3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643AC1F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4.6.2</w:t>
      </w:r>
      <w:r>
        <w:rPr>
          <w:rFonts w:cs="Times New Roman"/>
          <w:szCs w:val="24"/>
        </w:rPr>
        <w:t xml:space="preserve"> </w:t>
      </w:r>
      <w:r>
        <w:rPr>
          <w:rFonts w:cs="Times New Roman" w:hint="eastAsia"/>
          <w:szCs w:val="24"/>
        </w:rPr>
        <w:t>......</w:t>
      </w:r>
      <w:r>
        <w:rPr>
          <w:rFonts w:cs="Times New Roman" w:hint="eastAsia"/>
          <w:szCs w:val="24"/>
        </w:rPr>
        <w:t>水质符合</w:t>
      </w:r>
      <w:r>
        <w:rPr>
          <w:rFonts w:cs="Times New Roman" w:hint="eastAsia"/>
          <w:szCs w:val="24"/>
        </w:rPr>
        <w:t>GB5749</w:t>
      </w:r>
      <w:r>
        <w:rPr>
          <w:rFonts w:cs="Times New Roman" w:hint="eastAsia"/>
          <w:szCs w:val="24"/>
        </w:rPr>
        <w:t>要求</w:t>
      </w:r>
      <w:r>
        <w:rPr>
          <w:rFonts w:cs="Times New Roman" w:hint="eastAsia"/>
          <w:szCs w:val="24"/>
        </w:rPr>
        <w:t>......</w:t>
      </w:r>
      <w:r>
        <w:rPr>
          <w:rFonts w:cs="Times New Roman" w:hint="eastAsia"/>
          <w:szCs w:val="24"/>
        </w:rPr>
        <w:t>”和“</w:t>
      </w:r>
      <w:r>
        <w:rPr>
          <w:rFonts w:cs="Times New Roman" w:hint="eastAsia"/>
          <w:szCs w:val="24"/>
        </w:rPr>
        <w:t>4.6.4</w:t>
      </w:r>
      <w:r>
        <w:rPr>
          <w:rFonts w:cs="Times New Roman"/>
          <w:szCs w:val="24"/>
        </w:rPr>
        <w:t xml:space="preserve"> </w:t>
      </w:r>
      <w:r>
        <w:rPr>
          <w:rFonts w:cs="Times New Roman" w:hint="eastAsia"/>
          <w:szCs w:val="24"/>
        </w:rPr>
        <w:t>公共交通工具上提供的生活饮用水水质应符合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要求”合并至本标准“</w:t>
      </w:r>
      <w:r>
        <w:rPr>
          <w:rFonts w:cs="Times New Roman" w:hint="eastAsia"/>
          <w:szCs w:val="24"/>
        </w:rPr>
        <w:t>4.</w:t>
      </w:r>
      <w:r>
        <w:rPr>
          <w:rFonts w:cs="Times New Roman"/>
          <w:szCs w:val="24"/>
        </w:rPr>
        <w:t xml:space="preserve">5.1 </w:t>
      </w:r>
      <w:r>
        <w:rPr>
          <w:rFonts w:cs="Times New Roman" w:hint="eastAsia"/>
          <w:szCs w:val="24"/>
        </w:rPr>
        <w:t>公共场所提供的生活饮用水水质应符合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w:t>
      </w:r>
    </w:p>
    <w:p w14:paraId="3D30FF18" w14:textId="77777777" w:rsidR="00D4394E" w:rsidRDefault="00D4394E">
      <w:pPr>
        <w:adjustRightInd w:val="0"/>
        <w:snapToGrid w:val="0"/>
        <w:spacing w:line="240" w:lineRule="auto"/>
        <w:ind w:firstLineChars="200" w:firstLine="480"/>
        <w:rPr>
          <w:rFonts w:cs="Times New Roman"/>
          <w:szCs w:val="24"/>
        </w:rPr>
      </w:pPr>
    </w:p>
    <w:p w14:paraId="1BB7230C"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4.5.2 </w:t>
      </w:r>
      <w:r>
        <w:rPr>
          <w:rFonts w:cs="Times New Roman" w:hint="eastAsia"/>
          <w:szCs w:val="24"/>
        </w:rPr>
        <w:t>自建供水设施使用单位应有专人负责卫生管理，水源卫生防护和供水过程卫生管理应符合《生活饮用水集中式供水单位卫生规范》，有日常管理记录</w:t>
      </w:r>
      <w:r>
        <w:rPr>
          <w:rFonts w:cs="Times New Roman" w:hint="eastAsia"/>
          <w:szCs w:val="24"/>
        </w:rPr>
        <w:lastRenderedPageBreak/>
        <w:t>和水质年度检测合格报告。</w:t>
      </w:r>
    </w:p>
    <w:p w14:paraId="5BC8495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2DB2817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szCs w:val="24"/>
        </w:rPr>
        <w:t>4.6.2 ......</w:t>
      </w:r>
      <w:r>
        <w:rPr>
          <w:rFonts w:cs="Times New Roman" w:hint="eastAsia"/>
          <w:szCs w:val="24"/>
        </w:rPr>
        <w:t>水质符合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w:t>
      </w:r>
      <w:r>
        <w:rPr>
          <w:rFonts w:cs="Times New Roman" w:hint="eastAsia"/>
          <w:szCs w:val="24"/>
        </w:rPr>
        <w:t>......</w:t>
      </w:r>
      <w:r>
        <w:rPr>
          <w:rFonts w:cs="Times New Roman" w:hint="eastAsia"/>
          <w:szCs w:val="24"/>
        </w:rPr>
        <w:t>”内容合并至</w:t>
      </w:r>
      <w:r>
        <w:rPr>
          <w:rFonts w:cs="Times New Roman" w:hint="eastAsia"/>
          <w:szCs w:val="24"/>
        </w:rPr>
        <w:t>4.</w:t>
      </w:r>
      <w:r>
        <w:rPr>
          <w:rFonts w:cs="Times New Roman"/>
          <w:szCs w:val="24"/>
        </w:rPr>
        <w:t>5.1</w:t>
      </w:r>
      <w:r>
        <w:rPr>
          <w:rFonts w:cs="Times New Roman" w:hint="eastAsia"/>
          <w:szCs w:val="24"/>
        </w:rPr>
        <w:t>以后，原标准</w:t>
      </w:r>
      <w:r>
        <w:rPr>
          <w:rFonts w:cs="Times New Roman"/>
          <w:szCs w:val="24"/>
        </w:rPr>
        <w:t>4.6.2</w:t>
      </w:r>
      <w:r>
        <w:rPr>
          <w:rFonts w:cs="Times New Roman" w:hint="eastAsia"/>
          <w:szCs w:val="24"/>
        </w:rPr>
        <w:t>剩余的内容修改为</w:t>
      </w:r>
      <w:r>
        <w:rPr>
          <w:rFonts w:cs="Times New Roman"/>
          <w:szCs w:val="24"/>
        </w:rPr>
        <w:t>4.5.2</w:t>
      </w:r>
      <w:r>
        <w:rPr>
          <w:rFonts w:cs="Times New Roman" w:hint="eastAsia"/>
          <w:szCs w:val="24"/>
        </w:rPr>
        <w:t>。</w:t>
      </w:r>
    </w:p>
    <w:p w14:paraId="341DC3E4" w14:textId="77777777" w:rsidR="00D4394E" w:rsidRDefault="00D4394E">
      <w:pPr>
        <w:adjustRightInd w:val="0"/>
        <w:snapToGrid w:val="0"/>
        <w:spacing w:line="240" w:lineRule="auto"/>
        <w:ind w:firstLineChars="200" w:firstLine="480"/>
        <w:rPr>
          <w:rFonts w:cs="Times New Roman"/>
          <w:szCs w:val="24"/>
        </w:rPr>
      </w:pPr>
    </w:p>
    <w:p w14:paraId="74F0DFDC"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4.5.3 </w:t>
      </w:r>
      <w:r>
        <w:rPr>
          <w:rFonts w:cs="Times New Roman" w:hint="eastAsia"/>
          <w:szCs w:val="24"/>
        </w:rPr>
        <w:t>为原标准</w:t>
      </w:r>
      <w:r>
        <w:rPr>
          <w:rFonts w:cs="Times New Roman" w:hint="eastAsia"/>
          <w:szCs w:val="24"/>
        </w:rPr>
        <w:t>4.</w:t>
      </w:r>
      <w:r>
        <w:rPr>
          <w:rFonts w:cs="Times New Roman"/>
          <w:szCs w:val="24"/>
        </w:rPr>
        <w:t>6.3</w:t>
      </w:r>
      <w:r>
        <w:rPr>
          <w:rFonts w:cs="Times New Roman" w:hint="eastAsia"/>
          <w:szCs w:val="24"/>
        </w:rPr>
        <w:t>的内容。</w:t>
      </w:r>
    </w:p>
    <w:p w14:paraId="57C8F98D" w14:textId="77777777" w:rsidR="00D4394E" w:rsidRDefault="00D4394E">
      <w:pPr>
        <w:adjustRightInd w:val="0"/>
        <w:snapToGrid w:val="0"/>
        <w:spacing w:line="240" w:lineRule="auto"/>
        <w:ind w:firstLineChars="200" w:firstLine="480"/>
        <w:rPr>
          <w:rFonts w:cs="Times New Roman"/>
          <w:szCs w:val="24"/>
        </w:rPr>
      </w:pPr>
    </w:p>
    <w:p w14:paraId="541A6F2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4.5.4 </w:t>
      </w:r>
      <w:r>
        <w:rPr>
          <w:rFonts w:cs="Times New Roman" w:hint="eastAsia"/>
          <w:szCs w:val="24"/>
        </w:rPr>
        <w:t>采用分质供水方式的公共场所应有专人负责卫生管理，制水工艺应符合卫生要求，水质应符合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和相应的标准规定，使用的水质处理器应取得卫生许可批件，有日常管理维护记录和水质年度检测合格报告。</w:t>
      </w:r>
    </w:p>
    <w:p w14:paraId="1527690A"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修改方法及理由：在原标准“</w:t>
      </w:r>
      <w:r>
        <w:rPr>
          <w:rFonts w:cs="Times New Roman" w:hint="eastAsia"/>
          <w:szCs w:val="24"/>
        </w:rPr>
        <w:t>4.6.5</w:t>
      </w:r>
      <w:r>
        <w:rPr>
          <w:rFonts w:cs="Times New Roman"/>
          <w:szCs w:val="24"/>
        </w:rPr>
        <w:t xml:space="preserve"> </w:t>
      </w:r>
      <w:r>
        <w:rPr>
          <w:rFonts w:cs="Times New Roman" w:hint="eastAsia"/>
          <w:szCs w:val="24"/>
        </w:rPr>
        <w:t>采用分质供水方式的公共场所，制水工艺应符合卫生要求，水质符合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和相应的标准规定，使用的水质处理器应取得卫生许可批件，做好设备、管道日常管理和维护工作。”基础上新增“应有专人负责卫生管理</w:t>
      </w:r>
      <w:r>
        <w:rPr>
          <w:rFonts w:cs="Times New Roman" w:hint="eastAsia"/>
          <w:szCs w:val="24"/>
        </w:rPr>
        <w:t>......</w:t>
      </w:r>
      <w:r>
        <w:rPr>
          <w:rFonts w:cs="Times New Roman" w:hint="eastAsia"/>
          <w:szCs w:val="24"/>
        </w:rPr>
        <w:t>有日常管理维护记录和水质年度检测合格报告。”的要求。，删除原标准</w:t>
      </w:r>
      <w:r>
        <w:rPr>
          <w:rFonts w:cs="Times New Roman" w:hint="eastAsia"/>
          <w:szCs w:val="24"/>
        </w:rPr>
        <w:t>4.6.5</w:t>
      </w:r>
      <w:r>
        <w:rPr>
          <w:rFonts w:cs="Times New Roman" w:hint="eastAsia"/>
          <w:szCs w:val="24"/>
        </w:rPr>
        <w:t>中“设备、管道”。</w:t>
      </w:r>
    </w:p>
    <w:p w14:paraId="23F562C0" w14:textId="77777777" w:rsidR="00D4394E" w:rsidRDefault="00D4394E">
      <w:pPr>
        <w:adjustRightInd w:val="0"/>
        <w:snapToGrid w:val="0"/>
        <w:spacing w:line="240" w:lineRule="auto"/>
        <w:ind w:firstLine="480"/>
        <w:rPr>
          <w:rFonts w:ascii="楷体" w:eastAsia="楷体" w:hAnsi="楷体" w:cs="楷体" w:hint="eastAsia"/>
          <w:b/>
          <w:bCs/>
          <w:szCs w:val="24"/>
        </w:rPr>
      </w:pPr>
    </w:p>
    <w:p w14:paraId="17DA297B" w14:textId="77777777" w:rsidR="00D4394E" w:rsidRDefault="00000000">
      <w:pPr>
        <w:adjustRightInd w:val="0"/>
        <w:snapToGrid w:val="0"/>
        <w:spacing w:line="240" w:lineRule="auto"/>
        <w:ind w:firstLine="480"/>
        <w:rPr>
          <w:rFonts w:ascii="楷体" w:eastAsia="楷体" w:hAnsi="楷体" w:cs="楷体" w:hint="eastAsia"/>
          <w:b/>
          <w:bCs/>
          <w:szCs w:val="24"/>
        </w:rPr>
      </w:pPr>
      <w:r>
        <w:rPr>
          <w:rFonts w:ascii="楷体" w:eastAsia="楷体" w:hAnsi="楷体" w:cs="楷体"/>
          <w:b/>
          <w:bCs/>
          <w:szCs w:val="24"/>
        </w:rPr>
        <w:t xml:space="preserve">4.6 </w:t>
      </w:r>
      <w:r>
        <w:rPr>
          <w:rFonts w:ascii="楷体" w:eastAsia="楷体" w:hAnsi="楷体" w:cs="楷体" w:hint="eastAsia"/>
          <w:b/>
          <w:bCs/>
          <w:szCs w:val="24"/>
        </w:rPr>
        <w:t>游泳池水、沐浴用水</w:t>
      </w:r>
    </w:p>
    <w:p w14:paraId="27762356"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4.6.1 </w:t>
      </w:r>
      <w:r>
        <w:rPr>
          <w:rFonts w:cs="Times New Roman" w:hint="eastAsia"/>
          <w:szCs w:val="24"/>
        </w:rPr>
        <w:t>人工游泳场所、沐浴用水使用的原水水质应符合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要求，游泳场所、沐浴场所水质应符合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p>
    <w:p w14:paraId="7A3650F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10CBF7F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根据《公共场所卫生指标及限值要求》（</w:t>
      </w:r>
      <w:r>
        <w:rPr>
          <w:rFonts w:cs="Times New Roman" w:hint="eastAsia"/>
          <w:szCs w:val="24"/>
        </w:rPr>
        <w:t>GB</w:t>
      </w:r>
      <w:r>
        <w:rPr>
          <w:rFonts w:cs="Times New Roman"/>
          <w:szCs w:val="24"/>
        </w:rPr>
        <w:t xml:space="preserve"> </w:t>
      </w:r>
      <w:r>
        <w:rPr>
          <w:rFonts w:cs="Times New Roman" w:hint="eastAsia"/>
          <w:szCs w:val="24"/>
        </w:rPr>
        <w:t>37488-2019</w:t>
      </w:r>
      <w:r>
        <w:rPr>
          <w:rFonts w:cs="Times New Roman" w:hint="eastAsia"/>
          <w:szCs w:val="24"/>
        </w:rPr>
        <w:t>）中</w:t>
      </w:r>
      <w:r>
        <w:rPr>
          <w:rFonts w:cs="Times New Roman" w:hint="eastAsia"/>
          <w:szCs w:val="24"/>
        </w:rPr>
        <w:t>4.4</w:t>
      </w:r>
      <w:r>
        <w:rPr>
          <w:rFonts w:cs="Times New Roman" w:hint="eastAsia"/>
          <w:szCs w:val="24"/>
        </w:rPr>
        <w:t>游泳池水、沐浴用水水质指标要求，将原标准“</w:t>
      </w:r>
      <w:r>
        <w:rPr>
          <w:rFonts w:cs="Times New Roman" w:hint="eastAsia"/>
          <w:szCs w:val="24"/>
        </w:rPr>
        <w:t>4.7.2</w:t>
      </w:r>
      <w:r>
        <w:rPr>
          <w:rFonts w:cs="Times New Roman"/>
          <w:szCs w:val="24"/>
        </w:rPr>
        <w:t xml:space="preserve"> </w:t>
      </w:r>
      <w:r>
        <w:rPr>
          <w:rFonts w:cs="Times New Roman" w:hint="eastAsia"/>
          <w:szCs w:val="24"/>
        </w:rPr>
        <w:t>游泳池水质应符合</w:t>
      </w:r>
      <w:r>
        <w:rPr>
          <w:rFonts w:cs="Times New Roman" w:hint="eastAsia"/>
          <w:szCs w:val="24"/>
        </w:rPr>
        <w:t>GB37488</w:t>
      </w:r>
      <w:r>
        <w:rPr>
          <w:rFonts w:cs="Times New Roman" w:hint="eastAsia"/>
          <w:szCs w:val="24"/>
        </w:rPr>
        <w:t>要求”“</w:t>
      </w:r>
      <w:r>
        <w:rPr>
          <w:rFonts w:cs="Times New Roman" w:hint="eastAsia"/>
          <w:szCs w:val="24"/>
        </w:rPr>
        <w:t>4.7.5</w:t>
      </w:r>
      <w:r>
        <w:rPr>
          <w:rFonts w:cs="Times New Roman" w:hint="eastAsia"/>
          <w:szCs w:val="24"/>
        </w:rPr>
        <w:t>池水水质符合</w:t>
      </w:r>
      <w:r>
        <w:rPr>
          <w:rFonts w:cs="Times New Roman" w:hint="eastAsia"/>
          <w:szCs w:val="24"/>
        </w:rPr>
        <w:t>GB37488</w:t>
      </w:r>
      <w:r>
        <w:rPr>
          <w:rFonts w:cs="Times New Roman" w:hint="eastAsia"/>
          <w:szCs w:val="24"/>
        </w:rPr>
        <w:t>要求”合并至本标准“</w:t>
      </w:r>
      <w:r>
        <w:rPr>
          <w:rFonts w:cs="Times New Roman" w:hint="eastAsia"/>
          <w:szCs w:val="24"/>
        </w:rPr>
        <w:t>5.1.3.1</w:t>
      </w:r>
      <w:r>
        <w:rPr>
          <w:rFonts w:cs="Times New Roman"/>
          <w:szCs w:val="24"/>
        </w:rPr>
        <w:t xml:space="preserve"> </w:t>
      </w:r>
      <w:r>
        <w:rPr>
          <w:rFonts w:cs="Times New Roman" w:hint="eastAsia"/>
          <w:szCs w:val="24"/>
        </w:rPr>
        <w:t>人工游泳场所、沐浴用水使用的原水水质应符合</w:t>
      </w:r>
      <w:r>
        <w:rPr>
          <w:rFonts w:cs="Times New Roman" w:hint="eastAsia"/>
          <w:szCs w:val="24"/>
        </w:rPr>
        <w:t>GB</w:t>
      </w:r>
      <w:r>
        <w:rPr>
          <w:rFonts w:cs="Times New Roman"/>
          <w:szCs w:val="24"/>
        </w:rPr>
        <w:t xml:space="preserve"> </w:t>
      </w:r>
      <w:r>
        <w:rPr>
          <w:rFonts w:cs="Times New Roman" w:hint="eastAsia"/>
          <w:szCs w:val="24"/>
        </w:rPr>
        <w:t>5749</w:t>
      </w:r>
      <w:r>
        <w:rPr>
          <w:rFonts w:cs="Times New Roman" w:hint="eastAsia"/>
          <w:szCs w:val="24"/>
        </w:rPr>
        <w:t>要求，游泳场所、沐浴场所水质应符合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要求”。原标准为沐浴场所使用的原水，征求意见专家认为沐浴用水不应只限定在沐浴场所，住宿、美容美发等场所也会使用沐浴水，因此修改为“沐浴用水所使用的原水水质”。</w:t>
      </w:r>
    </w:p>
    <w:p w14:paraId="7BF433B6" w14:textId="77777777" w:rsidR="00D4394E" w:rsidRDefault="00D4394E">
      <w:pPr>
        <w:adjustRightInd w:val="0"/>
        <w:snapToGrid w:val="0"/>
        <w:spacing w:line="240" w:lineRule="auto"/>
        <w:ind w:firstLineChars="200" w:firstLine="480"/>
        <w:rPr>
          <w:rFonts w:cs="Times New Roman"/>
          <w:szCs w:val="24"/>
        </w:rPr>
      </w:pPr>
    </w:p>
    <w:p w14:paraId="6270D8C8"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4.6.2 </w:t>
      </w:r>
      <w:r>
        <w:rPr>
          <w:rFonts w:cs="Times New Roman" w:hint="eastAsia"/>
          <w:szCs w:val="24"/>
        </w:rPr>
        <w:t>人工游泳场所池水循环净化、消毒、补充新水、在线监测等设施设备应正常运行，每日补充水量应符合</w:t>
      </w:r>
      <w:r>
        <w:rPr>
          <w:rFonts w:cs="Times New Roman" w:hint="eastAsia"/>
          <w:szCs w:val="24"/>
        </w:rPr>
        <w:t>GB</w:t>
      </w:r>
      <w:r>
        <w:rPr>
          <w:rFonts w:cs="Times New Roman"/>
          <w:szCs w:val="24"/>
        </w:rPr>
        <w:t xml:space="preserve"> </w:t>
      </w:r>
      <w:r>
        <w:rPr>
          <w:rFonts w:cs="Times New Roman" w:hint="eastAsia"/>
          <w:szCs w:val="24"/>
        </w:rPr>
        <w:t>50015</w:t>
      </w:r>
      <w:r>
        <w:rPr>
          <w:rFonts w:cs="Times New Roman" w:hint="eastAsia"/>
          <w:szCs w:val="24"/>
        </w:rPr>
        <w:t>要求。</w:t>
      </w:r>
    </w:p>
    <w:p w14:paraId="1E3960A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1A3E958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根据公共场所卫生监督执法实践，为确保卫生检测结果及时有效，在原标准</w:t>
      </w:r>
      <w:r>
        <w:rPr>
          <w:rFonts w:cs="Times New Roman"/>
          <w:szCs w:val="24"/>
        </w:rPr>
        <w:t>4.7.2</w:t>
      </w:r>
      <w:r>
        <w:rPr>
          <w:rFonts w:cs="Times New Roman" w:hint="eastAsia"/>
          <w:szCs w:val="24"/>
        </w:rPr>
        <w:t>“人工游泳场所池水循环净化、消毒、补水等设施设备应正常运行，每日补充足量新水”的基础上，本标准</w:t>
      </w:r>
      <w:r>
        <w:rPr>
          <w:rFonts w:cs="Times New Roman"/>
          <w:szCs w:val="24"/>
        </w:rPr>
        <w:t>4.6.</w:t>
      </w:r>
      <w:r>
        <w:rPr>
          <w:rFonts w:cs="Times New Roman" w:hint="eastAsia"/>
          <w:szCs w:val="24"/>
        </w:rPr>
        <w:t>2</w:t>
      </w:r>
      <w:r>
        <w:rPr>
          <w:rFonts w:cs="Times New Roman" w:hint="eastAsia"/>
          <w:szCs w:val="24"/>
        </w:rPr>
        <w:t>增加“在线监测设备”的表述。根据《建筑给水排水设计标准》（</w:t>
      </w:r>
      <w:r>
        <w:rPr>
          <w:rFonts w:cs="Times New Roman" w:hint="eastAsia"/>
          <w:szCs w:val="24"/>
        </w:rPr>
        <w:t>GB50015-2019</w:t>
      </w:r>
      <w:r>
        <w:rPr>
          <w:rFonts w:cs="Times New Roman" w:hint="eastAsia"/>
          <w:szCs w:val="24"/>
        </w:rPr>
        <w:t>）中</w:t>
      </w:r>
      <w:r>
        <w:rPr>
          <w:rFonts w:cs="Times New Roman" w:hint="eastAsia"/>
          <w:szCs w:val="24"/>
        </w:rPr>
        <w:t>3.10</w:t>
      </w:r>
      <w:r>
        <w:rPr>
          <w:rFonts w:cs="Times New Roman" w:hint="eastAsia"/>
          <w:szCs w:val="24"/>
        </w:rPr>
        <w:t>游泳池与水上游乐池中对游泳池和水上游乐池每日补充水量的要求，在本标准</w:t>
      </w:r>
      <w:r>
        <w:rPr>
          <w:rFonts w:cs="Times New Roman"/>
          <w:szCs w:val="24"/>
        </w:rPr>
        <w:t>4.6</w:t>
      </w:r>
      <w:r>
        <w:rPr>
          <w:rFonts w:cs="Times New Roman" w:hint="eastAsia"/>
          <w:szCs w:val="24"/>
        </w:rPr>
        <w:t>.2</w:t>
      </w:r>
      <w:r>
        <w:rPr>
          <w:rFonts w:cs="Times New Roman" w:hint="eastAsia"/>
          <w:szCs w:val="24"/>
        </w:rPr>
        <w:t>增加“每日补充水量应符合</w:t>
      </w:r>
      <w:r>
        <w:rPr>
          <w:rFonts w:cs="Times New Roman" w:hint="eastAsia"/>
          <w:szCs w:val="24"/>
        </w:rPr>
        <w:t>GB</w:t>
      </w:r>
      <w:r>
        <w:rPr>
          <w:rFonts w:cs="Times New Roman"/>
          <w:szCs w:val="24"/>
        </w:rPr>
        <w:t xml:space="preserve"> </w:t>
      </w:r>
      <w:r>
        <w:rPr>
          <w:rFonts w:cs="Times New Roman" w:hint="eastAsia"/>
          <w:szCs w:val="24"/>
        </w:rPr>
        <w:t>50015</w:t>
      </w:r>
      <w:r>
        <w:rPr>
          <w:rFonts w:cs="Times New Roman" w:hint="eastAsia"/>
          <w:szCs w:val="24"/>
        </w:rPr>
        <w:t>要求”的表述。</w:t>
      </w:r>
    </w:p>
    <w:p w14:paraId="6DFB3D39" w14:textId="77777777" w:rsidR="00D4394E" w:rsidRDefault="00D4394E">
      <w:pPr>
        <w:adjustRightInd w:val="0"/>
        <w:snapToGrid w:val="0"/>
        <w:spacing w:line="240" w:lineRule="auto"/>
        <w:ind w:firstLineChars="200" w:firstLine="480"/>
        <w:rPr>
          <w:rFonts w:cs="Times New Roman"/>
          <w:szCs w:val="24"/>
        </w:rPr>
      </w:pPr>
    </w:p>
    <w:p w14:paraId="5A68A41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4.6.3 </w:t>
      </w:r>
      <w:r>
        <w:rPr>
          <w:rFonts w:cs="Times New Roman" w:hint="eastAsia"/>
          <w:szCs w:val="24"/>
        </w:rPr>
        <w:t>儿童游泳池营业期间应持续供给新水，每日补充水量应符合</w:t>
      </w:r>
      <w:r>
        <w:rPr>
          <w:rFonts w:cs="Times New Roman" w:hint="eastAsia"/>
          <w:szCs w:val="24"/>
        </w:rPr>
        <w:t>GB</w:t>
      </w:r>
      <w:r>
        <w:rPr>
          <w:rFonts w:cs="Times New Roman"/>
          <w:szCs w:val="24"/>
        </w:rPr>
        <w:t xml:space="preserve"> </w:t>
      </w:r>
      <w:r>
        <w:rPr>
          <w:rFonts w:cs="Times New Roman" w:hint="eastAsia"/>
          <w:szCs w:val="24"/>
        </w:rPr>
        <w:t>50015</w:t>
      </w:r>
      <w:r>
        <w:rPr>
          <w:rFonts w:cs="Times New Roman" w:hint="eastAsia"/>
          <w:szCs w:val="24"/>
        </w:rPr>
        <w:t>要求。</w:t>
      </w:r>
    </w:p>
    <w:p w14:paraId="7B6C3E9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02AA8CE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原标准</w:t>
      </w:r>
      <w:r>
        <w:rPr>
          <w:rFonts w:cs="Times New Roman" w:hint="eastAsia"/>
          <w:szCs w:val="24"/>
        </w:rPr>
        <w:t>4.7.2</w:t>
      </w:r>
      <w:r>
        <w:rPr>
          <w:rFonts w:cs="Times New Roman"/>
          <w:szCs w:val="24"/>
        </w:rPr>
        <w:t xml:space="preserve"> </w:t>
      </w:r>
      <w:r>
        <w:rPr>
          <w:rFonts w:cs="Times New Roman" w:hint="eastAsia"/>
          <w:szCs w:val="24"/>
        </w:rPr>
        <w:t>对儿童游泳池供水提出要求，本次修订将儿童游泳池单独作为一条独立条款，并增加对每日补充水量的要求，提升对儿童游泳池卫生管理的重视。修订后</w:t>
      </w:r>
      <w:r>
        <w:rPr>
          <w:rFonts w:cs="Times New Roman"/>
          <w:szCs w:val="24"/>
        </w:rPr>
        <w:t xml:space="preserve">4.6.3 </w:t>
      </w:r>
      <w:r>
        <w:rPr>
          <w:rFonts w:cs="Times New Roman" w:hint="eastAsia"/>
          <w:szCs w:val="24"/>
        </w:rPr>
        <w:t>要求，儿童游泳池营业期间应持续供给新水，每日补充水量应</w:t>
      </w:r>
      <w:r>
        <w:rPr>
          <w:rFonts w:cs="Times New Roman" w:hint="eastAsia"/>
          <w:szCs w:val="24"/>
        </w:rPr>
        <w:lastRenderedPageBreak/>
        <w:t>符合</w:t>
      </w:r>
      <w:r>
        <w:rPr>
          <w:rFonts w:cs="Times New Roman" w:hint="eastAsia"/>
          <w:szCs w:val="24"/>
        </w:rPr>
        <w:t>GB</w:t>
      </w:r>
      <w:r>
        <w:rPr>
          <w:rFonts w:cs="Times New Roman"/>
          <w:szCs w:val="24"/>
        </w:rPr>
        <w:t xml:space="preserve"> </w:t>
      </w:r>
      <w:r>
        <w:rPr>
          <w:rFonts w:cs="Times New Roman" w:hint="eastAsia"/>
          <w:szCs w:val="24"/>
        </w:rPr>
        <w:t>50015</w:t>
      </w:r>
      <w:r>
        <w:rPr>
          <w:rFonts w:cs="Times New Roman" w:hint="eastAsia"/>
          <w:szCs w:val="24"/>
        </w:rPr>
        <w:t>要求。</w:t>
      </w:r>
    </w:p>
    <w:p w14:paraId="63EBAC84"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4.6.4 </w:t>
      </w:r>
      <w:r>
        <w:rPr>
          <w:rFonts w:cs="Times New Roman" w:hint="eastAsia"/>
          <w:szCs w:val="24"/>
        </w:rPr>
        <w:t>游泳场所设置的强制通过式浸脚消毒池应正常使用，池水更换频率应符合</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要求，游离氯含量应符合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p>
    <w:p w14:paraId="63462BCE"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160B653D" w14:textId="77777777" w:rsidR="00D4394E" w:rsidRDefault="00000000">
      <w:pPr>
        <w:adjustRightInd w:val="0"/>
        <w:snapToGrid w:val="0"/>
        <w:spacing w:line="240" w:lineRule="auto"/>
        <w:ind w:firstLine="480"/>
        <w:rPr>
          <w:rFonts w:cs="Times New Roman"/>
          <w:szCs w:val="24"/>
        </w:rPr>
      </w:pPr>
      <w:r>
        <w:rPr>
          <w:rFonts w:cs="Times New Roman" w:hint="eastAsia"/>
          <w:szCs w:val="24"/>
        </w:rPr>
        <w:t>增加</w:t>
      </w:r>
      <w:r>
        <w:rPr>
          <w:rFonts w:cs="Times New Roman" w:hint="eastAsia"/>
          <w:szCs w:val="24"/>
        </w:rPr>
        <w:t>GB</w:t>
      </w:r>
      <w:r>
        <w:rPr>
          <w:rFonts w:cs="Times New Roman"/>
          <w:szCs w:val="24"/>
        </w:rPr>
        <w:t xml:space="preserve"> </w:t>
      </w:r>
      <w:r>
        <w:rPr>
          <w:rFonts w:cs="Times New Roman" w:hint="eastAsia"/>
          <w:szCs w:val="24"/>
        </w:rPr>
        <w:t>37489</w:t>
      </w:r>
      <w:r>
        <w:rPr>
          <w:rFonts w:cs="Times New Roman" w:hint="eastAsia"/>
          <w:szCs w:val="24"/>
        </w:rPr>
        <w:t>对池水更换频率的要求；原标准“</w:t>
      </w:r>
      <w:r>
        <w:rPr>
          <w:rFonts w:cs="Times New Roman" w:hint="eastAsia"/>
          <w:szCs w:val="24"/>
        </w:rPr>
        <w:t>4.7.3</w:t>
      </w:r>
      <w:r>
        <w:rPr>
          <w:rFonts w:cs="Times New Roman"/>
          <w:szCs w:val="24"/>
        </w:rPr>
        <w:t xml:space="preserve"> </w:t>
      </w:r>
      <w:r>
        <w:rPr>
          <w:rFonts w:cs="Times New Roman" w:hint="eastAsia"/>
          <w:szCs w:val="24"/>
        </w:rPr>
        <w:t>游离性余氯含量应保持</w:t>
      </w:r>
      <w:r>
        <w:rPr>
          <w:rFonts w:cs="Times New Roman" w:hint="eastAsia"/>
          <w:szCs w:val="24"/>
        </w:rPr>
        <w:t>5</w:t>
      </w:r>
      <w:r>
        <w:rPr>
          <w:rFonts w:cs="Times New Roman"/>
          <w:szCs w:val="24"/>
        </w:rPr>
        <w:t xml:space="preserve"> mg/L~10 </w:t>
      </w:r>
      <w:r>
        <w:rPr>
          <w:rFonts w:cs="Times New Roman" w:hint="eastAsia"/>
          <w:szCs w:val="24"/>
        </w:rPr>
        <w:t>mg/L</w:t>
      </w:r>
      <w:r>
        <w:rPr>
          <w:rFonts w:cs="Times New Roman" w:hint="eastAsia"/>
          <w:szCs w:val="24"/>
        </w:rPr>
        <w:t>”游离性余氯”修改为“游离氯”，与</w:t>
      </w:r>
      <w:r>
        <w:rPr>
          <w:rFonts w:cs="Times New Roman" w:hint="eastAsia"/>
          <w:szCs w:val="24"/>
        </w:rPr>
        <w:t>GB</w:t>
      </w:r>
      <w:r>
        <w:rPr>
          <w:rFonts w:cs="Times New Roman"/>
          <w:szCs w:val="24"/>
        </w:rPr>
        <w:t xml:space="preserve"> </w:t>
      </w:r>
      <w:r>
        <w:rPr>
          <w:rFonts w:cs="Times New Roman" w:hint="eastAsia"/>
          <w:szCs w:val="24"/>
        </w:rPr>
        <w:t>5749-2022</w:t>
      </w:r>
      <w:r>
        <w:rPr>
          <w:rFonts w:cs="Times New Roman" w:hint="eastAsia"/>
          <w:szCs w:val="24"/>
        </w:rPr>
        <w:t>保持一致；由于引用标准存在修订的需求，因此将具体定量要求，如池水更换频率、游离氯要求等改为引用标准。</w:t>
      </w:r>
    </w:p>
    <w:p w14:paraId="4E37A21C" w14:textId="77777777" w:rsidR="00D4394E" w:rsidRDefault="00D4394E">
      <w:pPr>
        <w:adjustRightInd w:val="0"/>
        <w:snapToGrid w:val="0"/>
        <w:spacing w:line="240" w:lineRule="auto"/>
        <w:ind w:firstLine="480"/>
        <w:rPr>
          <w:rFonts w:cs="Times New Roman"/>
          <w:szCs w:val="24"/>
        </w:rPr>
      </w:pPr>
    </w:p>
    <w:p w14:paraId="4752FAEA"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4.6.5 </w:t>
      </w:r>
      <w:r>
        <w:rPr>
          <w:rFonts w:cs="Times New Roman" w:hint="eastAsia"/>
          <w:szCs w:val="24"/>
        </w:rPr>
        <w:t>沐浴场所应定期对浴池表面进行清洗消毒，浴池水应循环净化处理，循环净化装置应正常运行，营业期间每日补充足量新水。</w:t>
      </w:r>
    </w:p>
    <w:p w14:paraId="5570CEAE"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63B5C3B9" w14:textId="77777777" w:rsidR="00D4394E" w:rsidRDefault="00000000">
      <w:pPr>
        <w:adjustRightInd w:val="0"/>
        <w:snapToGrid w:val="0"/>
        <w:spacing w:line="240" w:lineRule="auto"/>
        <w:ind w:firstLine="480"/>
        <w:rPr>
          <w:rFonts w:cs="Times New Roman"/>
          <w:szCs w:val="24"/>
        </w:rPr>
      </w:pPr>
      <w:r>
        <w:rPr>
          <w:rFonts w:cs="Times New Roman" w:hint="eastAsia"/>
          <w:szCs w:val="24"/>
        </w:rPr>
        <w:t>在原标准</w:t>
      </w:r>
      <w:r>
        <w:rPr>
          <w:rFonts w:cs="Times New Roman" w:hint="eastAsia"/>
          <w:szCs w:val="24"/>
        </w:rPr>
        <w:t>4.7.5</w:t>
      </w:r>
      <w:r>
        <w:rPr>
          <w:rFonts w:cs="Times New Roman" w:hint="eastAsia"/>
          <w:szCs w:val="24"/>
        </w:rPr>
        <w:t>基础上，增加沐浴场所应定期对浴池表面进行清洗消毒的要求。</w:t>
      </w:r>
    </w:p>
    <w:p w14:paraId="4F227A3B" w14:textId="77777777" w:rsidR="00D4394E" w:rsidRDefault="00D4394E">
      <w:pPr>
        <w:adjustRightInd w:val="0"/>
        <w:snapToGrid w:val="0"/>
        <w:spacing w:line="240" w:lineRule="auto"/>
        <w:ind w:firstLine="480"/>
        <w:rPr>
          <w:rFonts w:cs="Times New Roman"/>
          <w:szCs w:val="24"/>
        </w:rPr>
      </w:pPr>
    </w:p>
    <w:p w14:paraId="78B80418" w14:textId="77777777" w:rsidR="00D4394E" w:rsidRDefault="00000000">
      <w:pPr>
        <w:adjustRightInd w:val="0"/>
        <w:snapToGrid w:val="0"/>
        <w:spacing w:line="240" w:lineRule="auto"/>
        <w:ind w:firstLine="480"/>
        <w:rPr>
          <w:rFonts w:cs="Times New Roman"/>
          <w:szCs w:val="24"/>
        </w:rPr>
      </w:pPr>
      <w:r>
        <w:rPr>
          <w:rFonts w:ascii="楷体" w:eastAsia="楷体" w:hAnsi="楷体" w:cs="楷体"/>
          <w:b/>
          <w:bCs/>
          <w:szCs w:val="24"/>
        </w:rPr>
        <w:t xml:space="preserve">4.8 </w:t>
      </w:r>
      <w:r>
        <w:rPr>
          <w:rFonts w:ascii="楷体" w:eastAsia="楷体" w:hAnsi="楷体" w:cs="楷体" w:hint="eastAsia"/>
          <w:b/>
          <w:bCs/>
          <w:szCs w:val="24"/>
        </w:rPr>
        <w:t>卫生专间（区）</w:t>
      </w:r>
    </w:p>
    <w:p w14:paraId="468204AE"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4.8.2</w:t>
      </w:r>
      <w:r>
        <w:rPr>
          <w:rFonts w:cs="Times New Roman" w:hint="eastAsia"/>
          <w:szCs w:val="24"/>
        </w:rPr>
        <w:t xml:space="preserve"> </w:t>
      </w:r>
      <w:r>
        <w:rPr>
          <w:rFonts w:cs="Times New Roman" w:hint="eastAsia"/>
          <w:szCs w:val="24"/>
        </w:rPr>
        <w:t>清洗消毒间（区）要求</w:t>
      </w:r>
    </w:p>
    <w:p w14:paraId="04FA59B6"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13504E1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szCs w:val="24"/>
        </w:rPr>
        <w:t>4.9.1</w:t>
      </w:r>
      <w:r>
        <w:rPr>
          <w:rFonts w:cs="Times New Roman" w:hint="eastAsia"/>
          <w:szCs w:val="24"/>
        </w:rPr>
        <w:t>“公共用具清洗消毒间要求”的基础上，将“专间专用”“保持整洁”统一修改至</w:t>
      </w:r>
      <w:r>
        <w:rPr>
          <w:rFonts w:cs="Times New Roman"/>
          <w:szCs w:val="24"/>
        </w:rPr>
        <w:t>4.8.1</w:t>
      </w:r>
      <w:r>
        <w:rPr>
          <w:rFonts w:cs="Times New Roman" w:hint="eastAsia"/>
          <w:szCs w:val="24"/>
        </w:rPr>
        <w:t>和</w:t>
      </w:r>
      <w:r>
        <w:rPr>
          <w:rFonts w:cs="Times New Roman"/>
          <w:szCs w:val="24"/>
        </w:rPr>
        <w:t>4.1.1</w:t>
      </w:r>
      <w:r>
        <w:rPr>
          <w:rFonts w:cs="Times New Roman" w:hint="eastAsia"/>
          <w:szCs w:val="24"/>
        </w:rPr>
        <w:t>；增加清洗消毒区，扩大覆盖范围。将所用消毒产品修改至</w:t>
      </w:r>
      <w:r>
        <w:rPr>
          <w:rFonts w:cs="Times New Roman"/>
          <w:szCs w:val="24"/>
        </w:rPr>
        <w:t>4.3</w:t>
      </w:r>
      <w:r>
        <w:rPr>
          <w:rFonts w:cs="Times New Roman" w:hint="eastAsia"/>
          <w:szCs w:val="24"/>
        </w:rPr>
        <w:t>，提出对清洗消毒所用产品的要求。</w:t>
      </w:r>
    </w:p>
    <w:p w14:paraId="0ACFCFCD" w14:textId="77777777" w:rsidR="00D4394E" w:rsidRDefault="00D4394E">
      <w:pPr>
        <w:adjustRightInd w:val="0"/>
        <w:snapToGrid w:val="0"/>
        <w:spacing w:line="240" w:lineRule="auto"/>
        <w:ind w:firstLineChars="200" w:firstLine="480"/>
        <w:rPr>
          <w:rFonts w:cs="Times New Roman"/>
          <w:szCs w:val="24"/>
        </w:rPr>
      </w:pPr>
    </w:p>
    <w:p w14:paraId="616394F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4.8.3</w:t>
      </w:r>
      <w:r>
        <w:rPr>
          <w:rFonts w:cs="Times New Roman" w:hint="eastAsia"/>
          <w:szCs w:val="24"/>
        </w:rPr>
        <w:t xml:space="preserve"> </w:t>
      </w:r>
      <w:r>
        <w:rPr>
          <w:rFonts w:cs="Times New Roman" w:hint="eastAsia"/>
          <w:szCs w:val="24"/>
        </w:rPr>
        <w:t>清洁物品储藏间（备用品库房）要求</w:t>
      </w:r>
    </w:p>
    <w:p w14:paraId="44575326"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651DBD3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4.9.2</w:t>
      </w:r>
      <w:r>
        <w:rPr>
          <w:rFonts w:cs="Times New Roman"/>
          <w:szCs w:val="24"/>
        </w:rPr>
        <w:t xml:space="preserve"> </w:t>
      </w:r>
      <w:r>
        <w:rPr>
          <w:rFonts w:cs="Times New Roman" w:hint="eastAsia"/>
          <w:szCs w:val="24"/>
        </w:rPr>
        <w:t>清洁物品储藏间（备用品库房）要求</w:t>
      </w:r>
      <w:r>
        <w:rPr>
          <w:rFonts w:cs="Times New Roman"/>
          <w:szCs w:val="24"/>
        </w:rPr>
        <w:t xml:space="preserve"> </w:t>
      </w:r>
      <w:r>
        <w:rPr>
          <w:rFonts w:cs="Times New Roman" w:hint="eastAsia"/>
          <w:szCs w:val="24"/>
        </w:rPr>
        <w:t>a</w:t>
      </w:r>
      <w:r>
        <w:rPr>
          <w:rFonts w:cs="Times New Roman" w:hint="eastAsia"/>
          <w:szCs w:val="24"/>
        </w:rPr>
        <w:t>）公共场所应根据场所种类、规模合理设置清洁物品储藏间，或在场所内清洁区域设置清洁物品储藏区，数量和规模应能满足经营需要”修改为“</w:t>
      </w:r>
      <w:r>
        <w:rPr>
          <w:rFonts w:cs="Times New Roman" w:hint="eastAsia"/>
          <w:szCs w:val="24"/>
        </w:rPr>
        <w:t>5.1.4.4</w:t>
      </w:r>
      <w:r>
        <w:rPr>
          <w:rFonts w:cs="Times New Roman"/>
          <w:szCs w:val="24"/>
        </w:rPr>
        <w:t xml:space="preserve"> </w:t>
      </w:r>
      <w:r>
        <w:rPr>
          <w:rFonts w:cs="Times New Roman" w:hint="eastAsia"/>
          <w:szCs w:val="24"/>
        </w:rPr>
        <w:t>a</w:t>
      </w:r>
      <w:r>
        <w:rPr>
          <w:rFonts w:cs="Times New Roman" w:hint="eastAsia"/>
          <w:szCs w:val="24"/>
        </w:rPr>
        <w:t>）应根据场所种类、规模合理设置清洁物品储藏间或在场所内清洁区域设置清洁物品储藏区，客房数量</w:t>
      </w:r>
      <w:r>
        <w:rPr>
          <w:rFonts w:cs="Times New Roman" w:hint="eastAsia"/>
          <w:szCs w:val="24"/>
        </w:rPr>
        <w:t>50</w:t>
      </w:r>
      <w:r>
        <w:rPr>
          <w:rFonts w:cs="Times New Roman" w:hint="eastAsia"/>
          <w:szCs w:val="24"/>
        </w:rPr>
        <w:t>间以上的住宿场所应设专用布草间，</w:t>
      </w:r>
      <w:r>
        <w:rPr>
          <w:rFonts w:hint="eastAsia"/>
        </w:rPr>
        <w:t>贮藏间（区）、</w:t>
      </w:r>
      <w:r>
        <w:rPr>
          <w:rFonts w:cs="Times New Roman" w:hint="eastAsia"/>
          <w:szCs w:val="24"/>
        </w:rPr>
        <w:t>布草间应配备密闭的保洁设施，并</w:t>
      </w:r>
      <w:r>
        <w:rPr>
          <w:rFonts w:hint="eastAsia"/>
        </w:rPr>
        <w:t>定期进行清洁消毒</w:t>
      </w:r>
      <w:r>
        <w:rPr>
          <w:rFonts w:cs="Times New Roman" w:hint="eastAsia"/>
          <w:szCs w:val="24"/>
        </w:rPr>
        <w:t>”。住宿场所的布草间是卫生监督的重要场所，原标准中未提及布草间，参考原标准中</w:t>
      </w:r>
      <w:r>
        <w:rPr>
          <w:rFonts w:cs="Times New Roman" w:hint="eastAsia"/>
          <w:szCs w:val="24"/>
        </w:rPr>
        <w:t>4.12</w:t>
      </w:r>
      <w:r>
        <w:rPr>
          <w:rFonts w:cs="Times New Roman" w:hint="eastAsia"/>
          <w:szCs w:val="24"/>
        </w:rPr>
        <w:t>工作车管理的要求，建议此次修订增加，同时考虑到不同规模，定在了</w:t>
      </w:r>
      <w:r>
        <w:rPr>
          <w:rFonts w:cs="Times New Roman" w:hint="eastAsia"/>
          <w:szCs w:val="24"/>
        </w:rPr>
        <w:t>50</w:t>
      </w:r>
      <w:r>
        <w:rPr>
          <w:rFonts w:cs="Times New Roman" w:hint="eastAsia"/>
          <w:szCs w:val="24"/>
        </w:rPr>
        <w:t>间以上的住宿场所，</w:t>
      </w:r>
      <w:r>
        <w:rPr>
          <w:rFonts w:cs="Times New Roman" w:hint="eastAsia"/>
          <w:szCs w:val="24"/>
        </w:rPr>
        <w:t>50</w:t>
      </w:r>
      <w:r>
        <w:rPr>
          <w:rFonts w:cs="Times New Roman" w:hint="eastAsia"/>
          <w:szCs w:val="24"/>
        </w:rPr>
        <w:t>间要求参考了原标准中“</w:t>
      </w:r>
      <w:r>
        <w:rPr>
          <w:rFonts w:cs="Times New Roman" w:hint="eastAsia"/>
          <w:szCs w:val="24"/>
        </w:rPr>
        <w:t>4.12</w:t>
      </w:r>
      <w:r>
        <w:rPr>
          <w:rFonts w:cs="Times New Roman"/>
          <w:szCs w:val="24"/>
        </w:rPr>
        <w:t xml:space="preserve"> </w:t>
      </w:r>
      <w:r>
        <w:rPr>
          <w:rFonts w:cs="Times New Roman" w:hint="eastAsia"/>
          <w:szCs w:val="24"/>
        </w:rPr>
        <w:t>工作车管理”的要求：“客房数量</w:t>
      </w:r>
      <w:r>
        <w:rPr>
          <w:rFonts w:cs="Times New Roman" w:hint="eastAsia"/>
          <w:szCs w:val="24"/>
        </w:rPr>
        <w:t>50</w:t>
      </w:r>
      <w:r>
        <w:rPr>
          <w:rFonts w:cs="Times New Roman" w:hint="eastAsia"/>
          <w:szCs w:val="24"/>
        </w:rPr>
        <w:t>间以上的住宿场所应配备工作车，按每层楼或每</w:t>
      </w:r>
      <w:r>
        <w:rPr>
          <w:rFonts w:cs="Times New Roman" w:hint="eastAsia"/>
          <w:szCs w:val="24"/>
        </w:rPr>
        <w:t>20</w:t>
      </w:r>
      <w:r>
        <w:rPr>
          <w:rFonts w:cs="Times New Roman" w:hint="eastAsia"/>
          <w:szCs w:val="24"/>
        </w:rPr>
        <w:t>间客房设置</w:t>
      </w:r>
      <w:r>
        <w:rPr>
          <w:rFonts w:cs="Times New Roman" w:hint="eastAsia"/>
          <w:szCs w:val="24"/>
        </w:rPr>
        <w:t>1</w:t>
      </w:r>
      <w:r>
        <w:rPr>
          <w:rFonts w:cs="Times New Roman" w:hint="eastAsia"/>
          <w:szCs w:val="24"/>
        </w:rPr>
        <w:t>辆的比例配置”。</w:t>
      </w:r>
    </w:p>
    <w:p w14:paraId="40F08361" w14:textId="77777777" w:rsidR="00D4394E" w:rsidRDefault="00D4394E">
      <w:pPr>
        <w:adjustRightInd w:val="0"/>
        <w:snapToGrid w:val="0"/>
        <w:spacing w:line="240" w:lineRule="auto"/>
        <w:ind w:firstLineChars="200" w:firstLine="480"/>
        <w:rPr>
          <w:rFonts w:cs="Times New Roman"/>
          <w:szCs w:val="24"/>
        </w:rPr>
      </w:pPr>
    </w:p>
    <w:p w14:paraId="65ECF402"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4.8.4</w:t>
      </w:r>
      <w:r>
        <w:rPr>
          <w:rFonts w:cs="Times New Roman" w:hint="eastAsia"/>
          <w:szCs w:val="24"/>
        </w:rPr>
        <w:t xml:space="preserve"> </w:t>
      </w:r>
      <w:r>
        <w:rPr>
          <w:rFonts w:cs="Times New Roman" w:hint="eastAsia"/>
          <w:szCs w:val="24"/>
        </w:rPr>
        <w:t>洗涤房间（洗衣房）要求</w:t>
      </w:r>
    </w:p>
    <w:p w14:paraId="4E59CD6A"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662A296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4.9.3</w:t>
      </w:r>
      <w:r>
        <w:rPr>
          <w:rFonts w:cs="Times New Roman"/>
          <w:szCs w:val="24"/>
        </w:rPr>
        <w:t xml:space="preserve"> </w:t>
      </w:r>
      <w:r>
        <w:rPr>
          <w:rFonts w:cs="Times New Roman" w:hint="eastAsia"/>
          <w:szCs w:val="24"/>
        </w:rPr>
        <w:t>公共用品洗涤房间（洗衣房）要求”内容按照本标准进行一致性修改。</w:t>
      </w:r>
    </w:p>
    <w:p w14:paraId="7A845D9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4.8.5 </w:t>
      </w:r>
      <w:r>
        <w:rPr>
          <w:rFonts w:cs="Times New Roman" w:hint="eastAsia"/>
          <w:szCs w:val="24"/>
        </w:rPr>
        <w:t>为原标准</w:t>
      </w:r>
      <w:r>
        <w:rPr>
          <w:rFonts w:cs="Times New Roman" w:hint="eastAsia"/>
          <w:szCs w:val="24"/>
        </w:rPr>
        <w:t>4.</w:t>
      </w:r>
      <w:r>
        <w:rPr>
          <w:rFonts w:cs="Times New Roman"/>
          <w:szCs w:val="24"/>
        </w:rPr>
        <w:t>9.4</w:t>
      </w:r>
      <w:r>
        <w:rPr>
          <w:rFonts w:cs="Times New Roman" w:hint="eastAsia"/>
          <w:szCs w:val="24"/>
        </w:rPr>
        <w:t>的内容。</w:t>
      </w:r>
    </w:p>
    <w:p w14:paraId="43066023" w14:textId="77777777" w:rsidR="00D4394E" w:rsidRDefault="00D4394E">
      <w:pPr>
        <w:adjustRightInd w:val="0"/>
        <w:snapToGrid w:val="0"/>
        <w:spacing w:line="240" w:lineRule="auto"/>
        <w:ind w:firstLineChars="200" w:firstLine="480"/>
        <w:rPr>
          <w:rFonts w:cs="Times New Roman"/>
          <w:szCs w:val="24"/>
        </w:rPr>
      </w:pPr>
    </w:p>
    <w:p w14:paraId="66A2FE3F"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4.8.6 </w:t>
      </w:r>
      <w:r>
        <w:rPr>
          <w:rFonts w:cs="Times New Roman" w:hint="eastAsia"/>
          <w:szCs w:val="24"/>
        </w:rPr>
        <w:t>公共卫生间要求</w:t>
      </w:r>
    </w:p>
    <w:p w14:paraId="1600A76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修改要点：</w:t>
      </w:r>
    </w:p>
    <w:p w14:paraId="3223FA0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公共卫生间被认为是病原微生物传播扩散的重要场所，建议增强对公共卫生</w:t>
      </w:r>
      <w:r>
        <w:rPr>
          <w:rFonts w:cs="Times New Roman" w:hint="eastAsia"/>
          <w:szCs w:val="24"/>
        </w:rPr>
        <w:lastRenderedPageBreak/>
        <w:t>间的卫生要求。将部分条款修改方法理由简述如下：</w:t>
      </w:r>
    </w:p>
    <w:p w14:paraId="293CD5C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4.18.6 a</w:t>
      </w:r>
      <w:r>
        <w:rPr>
          <w:rFonts w:cs="Times New Roman" w:hint="eastAsia"/>
          <w:szCs w:val="24"/>
        </w:rPr>
        <w:t>）</w:t>
      </w:r>
      <w:r>
        <w:rPr>
          <w:rFonts w:cs="Times New Roman"/>
          <w:szCs w:val="24"/>
        </w:rPr>
        <w:t xml:space="preserve"> </w:t>
      </w:r>
      <w:r>
        <w:rPr>
          <w:rFonts w:cs="Times New Roman" w:hint="eastAsia"/>
          <w:szCs w:val="24"/>
        </w:rPr>
        <w:t>公共卫生间及配套设施应及时清扫保洁，无积水、无积垢、无异味、无絮状物、无病媒生物，上下水系统、洗手设施、机械通风设施应定期维护，保证正常使用。</w:t>
      </w:r>
    </w:p>
    <w:p w14:paraId="1DE24CA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0DA4355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hint="eastAsia"/>
          <w:szCs w:val="24"/>
        </w:rPr>
        <w:t>4.9.5a</w:t>
      </w:r>
      <w:r>
        <w:rPr>
          <w:rFonts w:cs="Times New Roman" w:hint="eastAsia"/>
          <w:szCs w:val="24"/>
        </w:rPr>
        <w:t>）公共卫生间应及时清扫保洁，做到无积水、无积垢、无异味，上下水系统、洗手设施、机械排风设施应定期维护，保证正常使用”，删掉“做到”，增加“无絮状物”“无病媒生物”；将机械排风统一改为机械通风。</w:t>
      </w:r>
    </w:p>
    <w:p w14:paraId="6F9FB9D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4.8.6 b</w:t>
      </w:r>
      <w:r>
        <w:rPr>
          <w:rFonts w:cs="Times New Roman" w:hint="eastAsia"/>
          <w:szCs w:val="24"/>
        </w:rPr>
        <w:t>）</w:t>
      </w:r>
      <w:r>
        <w:rPr>
          <w:rFonts w:cs="Times New Roman"/>
          <w:szCs w:val="24"/>
        </w:rPr>
        <w:t xml:space="preserve"> </w:t>
      </w:r>
      <w:r>
        <w:rPr>
          <w:rFonts w:cs="Times New Roman" w:hint="eastAsia"/>
          <w:szCs w:val="24"/>
        </w:rPr>
        <w:t>公共卫生间应配备足够的洗手液，保证水龙头等供水设施正常工作，设置座式便器的应提供一次性衬垫或者消毒设施。</w:t>
      </w:r>
    </w:p>
    <w:p w14:paraId="5DA9B93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修改方法及理由：在原标准“</w:t>
      </w:r>
      <w:r>
        <w:rPr>
          <w:rFonts w:cs="Times New Roman" w:hint="eastAsia"/>
          <w:szCs w:val="24"/>
        </w:rPr>
        <w:t>4.9.5b</w:t>
      </w:r>
      <w:r>
        <w:rPr>
          <w:rFonts w:cs="Times New Roman" w:hint="eastAsia"/>
          <w:szCs w:val="24"/>
        </w:rPr>
        <w:t>）公共卫生间设置座式便器的应提供一次性衬垫”基础上增加“公共卫生间应配备足够的洗手液，保证水龙头等供水设施正常工作”的要求。</w:t>
      </w:r>
    </w:p>
    <w:p w14:paraId="53331E5D"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4.8.6 d</w:t>
      </w:r>
      <w:r>
        <w:rPr>
          <w:rFonts w:cs="Times New Roman" w:hint="eastAsia"/>
          <w:szCs w:val="24"/>
        </w:rPr>
        <w:t>）</w:t>
      </w:r>
      <w:r>
        <w:rPr>
          <w:rFonts w:cs="Times New Roman"/>
          <w:szCs w:val="24"/>
        </w:rPr>
        <w:t xml:space="preserve"> </w:t>
      </w:r>
      <w:r>
        <w:rPr>
          <w:rFonts w:cs="Times New Roman" w:hint="eastAsia"/>
          <w:szCs w:val="24"/>
        </w:rPr>
        <w:t>应根据物品、用具的污染程度合理清扫，有效防止交叉污染、二次污染。卫生间清扫工具不得与其他位置清扫工具混用。</w:t>
      </w:r>
    </w:p>
    <w:p w14:paraId="6B20B62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修改方法及理由：在原标准“</w:t>
      </w:r>
      <w:r>
        <w:rPr>
          <w:rFonts w:cs="Times New Roman" w:hint="eastAsia"/>
          <w:szCs w:val="24"/>
        </w:rPr>
        <w:t>4.9.5</w:t>
      </w:r>
      <w:r>
        <w:rPr>
          <w:rFonts w:cs="Times New Roman"/>
          <w:szCs w:val="24"/>
        </w:rPr>
        <w:t xml:space="preserve"> </w:t>
      </w:r>
      <w:r>
        <w:rPr>
          <w:rFonts w:cs="Times New Roman" w:hint="eastAsia"/>
          <w:szCs w:val="24"/>
        </w:rPr>
        <w:t>d</w:t>
      </w:r>
      <w:r>
        <w:rPr>
          <w:rFonts w:cs="Times New Roman" w:hint="eastAsia"/>
          <w:szCs w:val="24"/>
        </w:rPr>
        <w:t>）应根据物品、用具的污染程度合理清扫，有效防止交叉污染，二次污染。”基础上增加“卫生间清扫工具不得与其他位置清扫工具混用”（改写自原</w:t>
      </w:r>
      <w:r>
        <w:rPr>
          <w:rFonts w:cs="Times New Roman" w:hint="eastAsia"/>
          <w:szCs w:val="24"/>
        </w:rPr>
        <w:t>4.11.3</w:t>
      </w:r>
      <w:r>
        <w:rPr>
          <w:rFonts w:cs="Times New Roman" w:hint="eastAsia"/>
          <w:szCs w:val="24"/>
        </w:rPr>
        <w:t>）。</w:t>
      </w:r>
    </w:p>
    <w:p w14:paraId="60F8738B"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4.8.7 </w:t>
      </w:r>
      <w:r>
        <w:rPr>
          <w:rFonts w:cs="Times New Roman" w:hint="eastAsia"/>
          <w:szCs w:val="24"/>
        </w:rPr>
        <w:t>为增加的内容。</w:t>
      </w:r>
    </w:p>
    <w:p w14:paraId="36758E10" w14:textId="77777777" w:rsidR="00D4394E" w:rsidRDefault="00D4394E">
      <w:pPr>
        <w:adjustRightInd w:val="0"/>
        <w:snapToGrid w:val="0"/>
        <w:spacing w:line="240" w:lineRule="auto"/>
        <w:ind w:firstLineChars="200" w:firstLine="480"/>
        <w:rPr>
          <w:rFonts w:cs="Times New Roman"/>
          <w:szCs w:val="24"/>
        </w:rPr>
      </w:pPr>
    </w:p>
    <w:p w14:paraId="56D7CB3C" w14:textId="77777777" w:rsidR="00D4394E" w:rsidRDefault="00000000">
      <w:pPr>
        <w:adjustRightInd w:val="0"/>
        <w:snapToGrid w:val="0"/>
        <w:spacing w:line="240" w:lineRule="auto"/>
        <w:ind w:firstLine="480"/>
        <w:rPr>
          <w:rFonts w:cs="Times New Roman"/>
          <w:szCs w:val="24"/>
        </w:rPr>
      </w:pPr>
      <w:r>
        <w:rPr>
          <w:rFonts w:ascii="楷体" w:eastAsia="楷体" w:hAnsi="楷体" w:cs="楷体"/>
          <w:b/>
          <w:bCs/>
          <w:szCs w:val="24"/>
        </w:rPr>
        <w:t xml:space="preserve">4.9 </w:t>
      </w:r>
      <w:r>
        <w:rPr>
          <w:rFonts w:ascii="楷体" w:eastAsia="楷体" w:hAnsi="楷体" w:cs="楷体" w:hint="eastAsia"/>
          <w:b/>
          <w:bCs/>
          <w:szCs w:val="24"/>
        </w:rPr>
        <w:t>卫生清扫工具</w:t>
      </w:r>
    </w:p>
    <w:p w14:paraId="2F9CAB51"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4.9.1 </w:t>
      </w:r>
      <w:r>
        <w:rPr>
          <w:rFonts w:cs="Times New Roman" w:hint="eastAsia"/>
          <w:szCs w:val="24"/>
        </w:rPr>
        <w:t>应配备吸尘器、拖把、抹布等用于卫生清扫的工具、设施、设备，能满足清扫保洁工作需要。</w:t>
      </w:r>
    </w:p>
    <w:p w14:paraId="28651932"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498453AD" w14:textId="77777777" w:rsidR="00D4394E" w:rsidRDefault="00000000">
      <w:pPr>
        <w:adjustRightInd w:val="0"/>
        <w:snapToGrid w:val="0"/>
        <w:spacing w:line="240" w:lineRule="auto"/>
        <w:ind w:firstLine="480"/>
      </w:pPr>
      <w:r>
        <w:rPr>
          <w:rFonts w:cs="Times New Roman" w:hint="eastAsia"/>
          <w:szCs w:val="24"/>
        </w:rPr>
        <w:t>将原标准“</w:t>
      </w:r>
      <w:r>
        <w:rPr>
          <w:rFonts w:cs="Times New Roman" w:hint="eastAsia"/>
          <w:szCs w:val="24"/>
        </w:rPr>
        <w:t>4.11.1</w:t>
      </w:r>
      <w:r>
        <w:rPr>
          <w:rFonts w:cs="Times New Roman"/>
          <w:szCs w:val="24"/>
        </w:rPr>
        <w:t xml:space="preserve"> </w:t>
      </w:r>
      <w:r>
        <w:rPr>
          <w:rFonts w:cs="Times New Roman" w:hint="eastAsia"/>
          <w:szCs w:val="24"/>
        </w:rPr>
        <w:t>数量充足”没有确定要求或要求不具体，修订为</w:t>
      </w:r>
      <w:r>
        <w:rPr>
          <w:rFonts w:cs="Times New Roman"/>
          <w:szCs w:val="24"/>
        </w:rPr>
        <w:t xml:space="preserve">4.9.1 </w:t>
      </w:r>
      <w:r>
        <w:rPr>
          <w:rFonts w:hint="eastAsia"/>
        </w:rPr>
        <w:t>应配备吸尘器、拖把、抹布等用于卫生清扫的工具、设施、设备，能满足清扫保洁工作需要。</w:t>
      </w:r>
    </w:p>
    <w:p w14:paraId="748AFCBF" w14:textId="77777777" w:rsidR="00D4394E" w:rsidRDefault="00D4394E">
      <w:pPr>
        <w:adjustRightInd w:val="0"/>
        <w:snapToGrid w:val="0"/>
        <w:spacing w:line="240" w:lineRule="auto"/>
        <w:ind w:firstLine="480"/>
      </w:pPr>
    </w:p>
    <w:p w14:paraId="130F109E" w14:textId="77777777" w:rsidR="00D4394E" w:rsidRDefault="00000000">
      <w:pPr>
        <w:adjustRightInd w:val="0"/>
        <w:snapToGrid w:val="0"/>
        <w:spacing w:line="240" w:lineRule="auto"/>
        <w:ind w:firstLine="480"/>
      </w:pPr>
      <w:bookmarkStart w:id="171" w:name="OLE_LINK14"/>
      <w:bookmarkStart w:id="172" w:name="OLE_LINK15"/>
      <w:r>
        <w:t>4.9.3</w:t>
      </w:r>
      <w:bookmarkEnd w:id="171"/>
      <w:bookmarkEnd w:id="172"/>
      <w:r>
        <w:rPr>
          <w:rFonts w:hint="eastAsia"/>
        </w:rPr>
        <w:t xml:space="preserve"> </w:t>
      </w:r>
      <w:r>
        <w:rPr>
          <w:rFonts w:hint="eastAsia"/>
        </w:rPr>
        <w:t>应配备卫生间清扫专用工具、抹布和用于洁具（脸池、浴缸、座便器）消毒的器材，并配备相应的存放容器。工具种类和抹布数量应与台面、墙面、地面、脸池、浴缸、座便器清扫相对应，工具、抹布的用途明确，不得混用。</w:t>
      </w:r>
    </w:p>
    <w:p w14:paraId="43FD4029" w14:textId="77777777" w:rsidR="00D4394E" w:rsidRDefault="00000000">
      <w:pPr>
        <w:adjustRightInd w:val="0"/>
        <w:snapToGrid w:val="0"/>
        <w:spacing w:line="240" w:lineRule="auto"/>
        <w:ind w:firstLine="480"/>
      </w:pPr>
      <w:r>
        <w:rPr>
          <w:rFonts w:cs="Times New Roman" w:hint="eastAsia"/>
          <w:szCs w:val="24"/>
        </w:rPr>
        <w:t>修改方法及理由：</w:t>
      </w:r>
    </w:p>
    <w:p w14:paraId="659338AA" w14:textId="77777777" w:rsidR="00D4394E" w:rsidRDefault="00000000">
      <w:pPr>
        <w:adjustRightInd w:val="0"/>
        <w:snapToGrid w:val="0"/>
        <w:spacing w:line="240" w:lineRule="auto"/>
        <w:ind w:firstLine="480"/>
        <w:rPr>
          <w:rFonts w:cs="Times New Roman"/>
          <w:szCs w:val="24"/>
        </w:rPr>
      </w:pPr>
      <w:r>
        <w:rPr>
          <w:rFonts w:cs="Times New Roman" w:hint="eastAsia"/>
          <w:szCs w:val="24"/>
        </w:rPr>
        <w:t>原标准</w:t>
      </w:r>
      <w:r>
        <w:rPr>
          <w:rFonts w:cs="Times New Roman" w:hint="eastAsia"/>
          <w:szCs w:val="24"/>
        </w:rPr>
        <w:t>4.11.3</w:t>
      </w:r>
      <w:r>
        <w:rPr>
          <w:rFonts w:cs="Times New Roman" w:hint="eastAsia"/>
          <w:szCs w:val="24"/>
        </w:rPr>
        <w:t>中“卫生间清扫工具、抹布和存放容器应有明确的用途标示”和</w:t>
      </w:r>
      <w:r>
        <w:rPr>
          <w:rFonts w:cs="Times New Roman" w:hint="eastAsia"/>
          <w:szCs w:val="24"/>
        </w:rPr>
        <w:t>4.</w:t>
      </w:r>
      <w:r>
        <w:rPr>
          <w:rFonts w:cs="Times New Roman"/>
          <w:szCs w:val="24"/>
        </w:rPr>
        <w:t>13.5</w:t>
      </w:r>
      <w:r>
        <w:rPr>
          <w:rFonts w:cs="Times New Roman" w:hint="eastAsia"/>
          <w:szCs w:val="24"/>
        </w:rPr>
        <w:t>中“卫生间清扫工具及其相应的存放容器应有标志标识，明确用途”，内容重复，故删除并与其他相应条款进行合并为</w:t>
      </w:r>
      <w:r>
        <w:rPr>
          <w:rFonts w:cs="Times New Roman"/>
          <w:szCs w:val="24"/>
        </w:rPr>
        <w:t>4.9.3</w:t>
      </w:r>
      <w:r>
        <w:rPr>
          <w:rFonts w:cs="Times New Roman" w:hint="eastAsia"/>
          <w:szCs w:val="24"/>
        </w:rPr>
        <w:t>，并将具体洁具种类与其他设施同级枚举。</w:t>
      </w:r>
    </w:p>
    <w:p w14:paraId="5BF1AE71" w14:textId="77777777" w:rsidR="00D4394E" w:rsidRDefault="00D4394E">
      <w:pPr>
        <w:adjustRightInd w:val="0"/>
        <w:snapToGrid w:val="0"/>
        <w:spacing w:line="240" w:lineRule="auto"/>
        <w:ind w:firstLine="480"/>
      </w:pPr>
    </w:p>
    <w:p w14:paraId="61BE1956" w14:textId="77777777" w:rsidR="00D4394E" w:rsidRDefault="00000000">
      <w:pPr>
        <w:adjustRightInd w:val="0"/>
        <w:snapToGrid w:val="0"/>
        <w:spacing w:line="240" w:lineRule="auto"/>
        <w:ind w:firstLine="480"/>
        <w:rPr>
          <w:rFonts w:cs="Times New Roman"/>
          <w:szCs w:val="24"/>
        </w:rPr>
      </w:pPr>
      <w:r>
        <w:rPr>
          <w:rFonts w:ascii="楷体" w:eastAsia="楷体" w:hAnsi="楷体" w:cs="楷体"/>
          <w:b/>
          <w:bCs/>
          <w:szCs w:val="24"/>
        </w:rPr>
        <w:t xml:space="preserve">4.10 </w:t>
      </w:r>
      <w:r>
        <w:rPr>
          <w:rFonts w:ascii="楷体" w:eastAsia="楷体" w:hAnsi="楷体" w:cs="楷体" w:hint="eastAsia"/>
          <w:b/>
          <w:bCs/>
          <w:szCs w:val="24"/>
        </w:rPr>
        <w:t>工作车管理</w:t>
      </w:r>
    </w:p>
    <w:p w14:paraId="54DEF4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0864054C" w14:textId="77777777" w:rsidR="00D4394E" w:rsidRDefault="00000000">
      <w:pPr>
        <w:adjustRightInd w:val="0"/>
        <w:snapToGrid w:val="0"/>
        <w:spacing w:line="240" w:lineRule="auto"/>
        <w:ind w:firstLine="480"/>
        <w:rPr>
          <w:rFonts w:cs="Times New Roman"/>
          <w:szCs w:val="24"/>
        </w:rPr>
      </w:pPr>
      <w:r>
        <w:rPr>
          <w:rFonts w:cs="Times New Roman" w:hint="eastAsia"/>
          <w:szCs w:val="24"/>
        </w:rPr>
        <w:t>原标准“</w:t>
      </w:r>
      <w:r>
        <w:rPr>
          <w:rFonts w:cs="Times New Roman" w:hint="eastAsia"/>
          <w:szCs w:val="24"/>
        </w:rPr>
        <w:t>4.12</w:t>
      </w:r>
      <w:r>
        <w:rPr>
          <w:rFonts w:cs="Times New Roman"/>
          <w:szCs w:val="24"/>
        </w:rPr>
        <w:t xml:space="preserve"> </w:t>
      </w:r>
      <w:r>
        <w:rPr>
          <w:rFonts w:cs="Times New Roman" w:hint="eastAsia"/>
          <w:szCs w:val="24"/>
        </w:rPr>
        <w:t>工作车管理”共有</w:t>
      </w:r>
      <w:r>
        <w:rPr>
          <w:rFonts w:cs="Times New Roman" w:hint="eastAsia"/>
          <w:szCs w:val="24"/>
        </w:rPr>
        <w:t>5</w:t>
      </w:r>
      <w:r>
        <w:rPr>
          <w:rFonts w:cs="Times New Roman" w:hint="eastAsia"/>
          <w:szCs w:val="24"/>
        </w:rPr>
        <w:t>条，本标准按照凝练简化的原则将原标准进行整合，合并为</w:t>
      </w:r>
      <w:r>
        <w:rPr>
          <w:rFonts w:cs="Times New Roman" w:hint="eastAsia"/>
          <w:szCs w:val="24"/>
        </w:rPr>
        <w:t>4</w:t>
      </w:r>
      <w:r>
        <w:rPr>
          <w:rFonts w:cs="Times New Roman" w:hint="eastAsia"/>
          <w:szCs w:val="24"/>
        </w:rPr>
        <w:t>条。</w:t>
      </w:r>
    </w:p>
    <w:p w14:paraId="002BEDA2" w14:textId="77777777" w:rsidR="00D4394E" w:rsidRDefault="00D4394E">
      <w:pPr>
        <w:adjustRightInd w:val="0"/>
        <w:snapToGrid w:val="0"/>
        <w:spacing w:line="240" w:lineRule="auto"/>
        <w:ind w:firstLine="480"/>
        <w:rPr>
          <w:rFonts w:cs="Times New Roman"/>
          <w:szCs w:val="24"/>
        </w:rPr>
      </w:pPr>
    </w:p>
    <w:p w14:paraId="30481C18" w14:textId="77777777" w:rsidR="00D4394E" w:rsidRDefault="00000000">
      <w:pPr>
        <w:adjustRightInd w:val="0"/>
        <w:snapToGrid w:val="0"/>
        <w:spacing w:line="240" w:lineRule="auto"/>
        <w:ind w:firstLine="480"/>
        <w:rPr>
          <w:rFonts w:cs="Times New Roman"/>
          <w:szCs w:val="24"/>
        </w:rPr>
      </w:pPr>
      <w:r>
        <w:rPr>
          <w:rFonts w:ascii="楷体" w:eastAsia="楷体" w:hAnsi="楷体" w:cs="楷体"/>
          <w:b/>
          <w:bCs/>
          <w:szCs w:val="24"/>
        </w:rPr>
        <w:t xml:space="preserve">4.11 </w:t>
      </w:r>
      <w:r>
        <w:rPr>
          <w:rFonts w:ascii="楷体" w:eastAsia="楷体" w:hAnsi="楷体" w:cs="楷体" w:hint="eastAsia"/>
          <w:b/>
          <w:bCs/>
          <w:szCs w:val="24"/>
        </w:rPr>
        <w:t>外送清洗管理</w:t>
      </w:r>
    </w:p>
    <w:p w14:paraId="596AA00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6A8B316B" w14:textId="77777777" w:rsidR="00D4394E" w:rsidRDefault="00000000">
      <w:pPr>
        <w:adjustRightInd w:val="0"/>
        <w:snapToGrid w:val="0"/>
        <w:spacing w:line="240" w:lineRule="auto"/>
        <w:ind w:firstLine="480"/>
        <w:rPr>
          <w:rFonts w:cs="Times New Roman"/>
          <w:szCs w:val="24"/>
        </w:rPr>
      </w:pPr>
      <w:r>
        <w:rPr>
          <w:rFonts w:cs="Times New Roman" w:hint="eastAsia"/>
          <w:szCs w:val="24"/>
        </w:rPr>
        <w:lastRenderedPageBreak/>
        <w:t>原标准“</w:t>
      </w:r>
      <w:r>
        <w:rPr>
          <w:rFonts w:cs="Times New Roman" w:hint="eastAsia"/>
          <w:szCs w:val="24"/>
        </w:rPr>
        <w:t>4.13</w:t>
      </w:r>
      <w:r>
        <w:rPr>
          <w:rFonts w:cs="Times New Roman"/>
          <w:szCs w:val="24"/>
        </w:rPr>
        <w:t xml:space="preserve"> </w:t>
      </w:r>
      <w:r>
        <w:rPr>
          <w:rFonts w:cs="Times New Roman" w:hint="eastAsia"/>
          <w:szCs w:val="24"/>
        </w:rPr>
        <w:t>外送清洗管理”共有</w:t>
      </w:r>
      <w:r>
        <w:rPr>
          <w:rFonts w:cs="Times New Roman" w:hint="eastAsia"/>
          <w:szCs w:val="24"/>
        </w:rPr>
        <w:t>4</w:t>
      </w:r>
      <w:r>
        <w:rPr>
          <w:rFonts w:cs="Times New Roman" w:hint="eastAsia"/>
          <w:szCs w:val="24"/>
        </w:rPr>
        <w:t>条，本标准“</w:t>
      </w:r>
      <w:r>
        <w:rPr>
          <w:rFonts w:cs="Times New Roman"/>
          <w:szCs w:val="24"/>
        </w:rPr>
        <w:t>4.11</w:t>
      </w:r>
      <w:r>
        <w:rPr>
          <w:rFonts w:cs="Times New Roman" w:hint="eastAsia"/>
          <w:szCs w:val="24"/>
        </w:rPr>
        <w:t xml:space="preserve"> </w:t>
      </w:r>
      <w:r>
        <w:rPr>
          <w:rFonts w:cs="Times New Roman" w:hint="eastAsia"/>
          <w:szCs w:val="24"/>
        </w:rPr>
        <w:t>外送清洗管理”内容仍保持</w:t>
      </w:r>
      <w:r>
        <w:rPr>
          <w:rFonts w:cs="Times New Roman" w:hint="eastAsia"/>
          <w:szCs w:val="24"/>
        </w:rPr>
        <w:t>4</w:t>
      </w:r>
      <w:r>
        <w:rPr>
          <w:rFonts w:cs="Times New Roman" w:hint="eastAsia"/>
          <w:szCs w:val="24"/>
        </w:rPr>
        <w:t>条。根据</w:t>
      </w:r>
      <w:r>
        <w:rPr>
          <w:rFonts w:cs="Times New Roman" w:hint="eastAsia"/>
          <w:szCs w:val="24"/>
        </w:rPr>
        <w:t>2022</w:t>
      </w:r>
      <w:r>
        <w:rPr>
          <w:rFonts w:cs="Times New Roman" w:hint="eastAsia"/>
          <w:szCs w:val="24"/>
        </w:rPr>
        <w:t>年</w:t>
      </w:r>
      <w:r>
        <w:rPr>
          <w:rFonts w:cs="Times New Roman" w:hint="eastAsia"/>
          <w:szCs w:val="24"/>
        </w:rPr>
        <w:t>3</w:t>
      </w:r>
      <w:r>
        <w:rPr>
          <w:rFonts w:cs="Times New Roman" w:hint="eastAsia"/>
          <w:szCs w:val="24"/>
        </w:rPr>
        <w:t>月</w:t>
      </w:r>
      <w:r>
        <w:rPr>
          <w:rFonts w:cs="Times New Roman" w:hint="eastAsia"/>
          <w:szCs w:val="24"/>
        </w:rPr>
        <w:t>1</w:t>
      </w:r>
      <w:r>
        <w:rPr>
          <w:rFonts w:cs="Times New Roman" w:hint="eastAsia"/>
          <w:szCs w:val="24"/>
        </w:rPr>
        <w:t>日实施的《中华人民共和国市场主体登记管理条例》，将原标准</w:t>
      </w:r>
      <w:r>
        <w:rPr>
          <w:rFonts w:cs="Times New Roman" w:hint="eastAsia"/>
          <w:szCs w:val="24"/>
        </w:rPr>
        <w:t>4.13.2</w:t>
      </w:r>
      <w:r>
        <w:rPr>
          <w:rFonts w:cs="Times New Roman" w:hint="eastAsia"/>
          <w:szCs w:val="24"/>
        </w:rPr>
        <w:t>中“工商营业执照”修改为“</w:t>
      </w:r>
      <w:r>
        <w:rPr>
          <w:rFonts w:cs="Times New Roman" w:hint="eastAsia"/>
          <w:szCs w:val="24"/>
        </w:rPr>
        <w:t xml:space="preserve">4.11.2 </w:t>
      </w:r>
      <w:r>
        <w:rPr>
          <w:rFonts w:cs="Times New Roman" w:hint="eastAsia"/>
          <w:szCs w:val="24"/>
        </w:rPr>
        <w:t>营业执照”。另外，目前已有较多住宿场所拖鞋也采用外送清洗方式，因此在</w:t>
      </w:r>
      <w:r>
        <w:rPr>
          <w:rFonts w:cs="Times New Roman" w:hint="eastAsia"/>
          <w:szCs w:val="24"/>
        </w:rPr>
        <w:t xml:space="preserve">4.11.1 </w:t>
      </w:r>
      <w:r>
        <w:rPr>
          <w:rFonts w:cs="Times New Roman" w:hint="eastAsia"/>
          <w:szCs w:val="24"/>
        </w:rPr>
        <w:t>列举的用品中增加拖鞋。</w:t>
      </w:r>
    </w:p>
    <w:p w14:paraId="78F3CB21" w14:textId="77777777" w:rsidR="00D4394E" w:rsidRDefault="00D4394E">
      <w:pPr>
        <w:adjustRightInd w:val="0"/>
        <w:snapToGrid w:val="0"/>
        <w:spacing w:line="240" w:lineRule="auto"/>
        <w:ind w:firstLine="480"/>
        <w:rPr>
          <w:rFonts w:cs="Times New Roman"/>
          <w:szCs w:val="24"/>
        </w:rPr>
      </w:pPr>
    </w:p>
    <w:p w14:paraId="3BC4BB75" w14:textId="77777777" w:rsidR="00D4394E" w:rsidRDefault="00000000">
      <w:pPr>
        <w:adjustRightInd w:val="0"/>
        <w:snapToGrid w:val="0"/>
        <w:spacing w:line="240" w:lineRule="auto"/>
        <w:ind w:firstLine="480"/>
      </w:pPr>
      <w:r>
        <w:rPr>
          <w:rFonts w:ascii="楷体" w:eastAsia="楷体" w:hAnsi="楷体" w:cs="楷体"/>
          <w:b/>
          <w:bCs/>
          <w:szCs w:val="24"/>
        </w:rPr>
        <w:t xml:space="preserve">4.12 </w:t>
      </w:r>
      <w:r>
        <w:rPr>
          <w:rFonts w:ascii="楷体" w:eastAsia="楷体" w:hAnsi="楷体" w:cs="楷体" w:hint="eastAsia"/>
          <w:b/>
          <w:bCs/>
          <w:szCs w:val="24"/>
        </w:rPr>
        <w:t>病媒生物防制</w:t>
      </w:r>
    </w:p>
    <w:p w14:paraId="055844C2" w14:textId="77777777" w:rsidR="00D4394E" w:rsidRDefault="00000000">
      <w:pPr>
        <w:adjustRightInd w:val="0"/>
        <w:snapToGrid w:val="0"/>
        <w:spacing w:line="240" w:lineRule="auto"/>
        <w:ind w:firstLine="480"/>
      </w:pPr>
      <w:r>
        <w:rPr>
          <w:rFonts w:hint="eastAsia"/>
        </w:rPr>
        <w:t>修改方法</w:t>
      </w:r>
      <w:r>
        <w:rPr>
          <w:rFonts w:cs="Times New Roman" w:hint="eastAsia"/>
          <w:szCs w:val="24"/>
        </w:rPr>
        <w:t>及理由</w:t>
      </w:r>
      <w:r>
        <w:rPr>
          <w:rFonts w:hint="eastAsia"/>
        </w:rPr>
        <w:t>：</w:t>
      </w:r>
    </w:p>
    <w:p w14:paraId="2652845F" w14:textId="77777777" w:rsidR="00D4394E" w:rsidRDefault="00000000">
      <w:pPr>
        <w:adjustRightInd w:val="0"/>
        <w:snapToGrid w:val="0"/>
        <w:spacing w:line="240" w:lineRule="auto"/>
        <w:ind w:firstLine="480"/>
        <w:rPr>
          <w:rFonts w:cs="Times New Roman"/>
          <w:szCs w:val="24"/>
        </w:rPr>
      </w:pPr>
      <w:r>
        <w:rPr>
          <w:rFonts w:cs="Times New Roman" w:hint="eastAsia"/>
          <w:szCs w:val="24"/>
        </w:rPr>
        <w:t>依据“十四五”规划和</w:t>
      </w:r>
      <w:r>
        <w:rPr>
          <w:rFonts w:cs="Times New Roman" w:hint="eastAsia"/>
          <w:szCs w:val="24"/>
        </w:rPr>
        <w:t>2035</w:t>
      </w:r>
      <w:r>
        <w:rPr>
          <w:rFonts w:cs="Times New Roman" w:hint="eastAsia"/>
          <w:szCs w:val="24"/>
        </w:rPr>
        <w:t>年远景目标纲要第六节深入开展爱国卫生运动，要求“强化病媒生物防制”，将原标准“病媒生物防治”全部修改为“病媒生物防制”。</w:t>
      </w:r>
    </w:p>
    <w:p w14:paraId="46ACE556"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4.12.1 </w:t>
      </w:r>
      <w:r>
        <w:rPr>
          <w:rFonts w:cs="Times New Roman" w:hint="eastAsia"/>
          <w:szCs w:val="24"/>
        </w:rPr>
        <w:t>公共场所应根据当地病媒生物特点采取相应防制措施，消除病媒生物滋生地，定期对场所内病媒生物防制设施进行检查维护，保证正常使用。</w:t>
      </w:r>
    </w:p>
    <w:p w14:paraId="71E6F040" w14:textId="77777777" w:rsidR="00D4394E" w:rsidRDefault="00000000">
      <w:pPr>
        <w:adjustRightInd w:val="0"/>
        <w:snapToGrid w:val="0"/>
        <w:spacing w:line="240" w:lineRule="auto"/>
        <w:ind w:firstLine="480"/>
      </w:pPr>
      <w:r>
        <w:rPr>
          <w:rFonts w:hint="eastAsia"/>
        </w:rPr>
        <w:t>修改方法</w:t>
      </w:r>
      <w:r>
        <w:rPr>
          <w:rFonts w:cs="Times New Roman" w:hint="eastAsia"/>
          <w:szCs w:val="24"/>
        </w:rPr>
        <w:t>及理由</w:t>
      </w:r>
      <w:r>
        <w:rPr>
          <w:rFonts w:hint="eastAsia"/>
        </w:rPr>
        <w:t>：</w:t>
      </w:r>
    </w:p>
    <w:p w14:paraId="439BC98D" w14:textId="77777777" w:rsidR="00D4394E" w:rsidRDefault="00000000">
      <w:pPr>
        <w:adjustRightInd w:val="0"/>
        <w:snapToGrid w:val="0"/>
        <w:spacing w:line="240" w:lineRule="auto"/>
        <w:ind w:firstLine="480"/>
      </w:pPr>
      <w:r>
        <w:rPr>
          <w:rFonts w:hint="eastAsia"/>
        </w:rPr>
        <w:t>在原标准</w:t>
      </w:r>
      <w:r>
        <w:t>4.14.1</w:t>
      </w:r>
      <w:r>
        <w:rPr>
          <w:rFonts w:hint="eastAsia"/>
        </w:rPr>
        <w:t>的基础上，删除“提倡使用物理方法防治”，其余内容修改为</w:t>
      </w:r>
      <w:r>
        <w:t>4.12.1</w:t>
      </w:r>
      <w:r>
        <w:rPr>
          <w:rFonts w:hint="eastAsia"/>
        </w:rPr>
        <w:t>。</w:t>
      </w:r>
    </w:p>
    <w:p w14:paraId="4A8FFB44" w14:textId="77777777" w:rsidR="00D4394E" w:rsidRDefault="00D4394E">
      <w:pPr>
        <w:adjustRightInd w:val="0"/>
        <w:snapToGrid w:val="0"/>
        <w:spacing w:line="240" w:lineRule="auto"/>
        <w:ind w:firstLine="480"/>
      </w:pPr>
    </w:p>
    <w:p w14:paraId="10A73FC4" w14:textId="77777777" w:rsidR="00D4394E" w:rsidRDefault="00000000">
      <w:pPr>
        <w:adjustRightInd w:val="0"/>
        <w:snapToGrid w:val="0"/>
        <w:spacing w:line="240" w:lineRule="auto"/>
        <w:ind w:firstLine="480"/>
        <w:rPr>
          <w:rFonts w:cs="Times New Roman"/>
          <w:szCs w:val="24"/>
        </w:rPr>
      </w:pPr>
      <w:r>
        <w:rPr>
          <w:rFonts w:cs="Times New Roman"/>
          <w:szCs w:val="24"/>
        </w:rPr>
        <w:t xml:space="preserve">4.12.2 </w:t>
      </w:r>
      <w:r>
        <w:rPr>
          <w:rFonts w:cs="Times New Roman" w:hint="eastAsia"/>
          <w:szCs w:val="24"/>
        </w:rPr>
        <w:t>共场所应配备垃圾桶（箱）、垃圾房、垃圾车等废弃物存放设施，数量充足，使用坚固、防水、防腐、防火材料制作，内壁光滑，便于清洗。废弃物的集中存放设施和运输设施应采取加盖、装门等密闭措施，以防止不良气味溢散和病媒生物侵入。</w:t>
      </w:r>
    </w:p>
    <w:p w14:paraId="7B45F06E" w14:textId="77777777" w:rsidR="00D4394E" w:rsidRDefault="00000000">
      <w:pPr>
        <w:adjustRightInd w:val="0"/>
        <w:snapToGrid w:val="0"/>
        <w:spacing w:line="240" w:lineRule="auto"/>
        <w:ind w:firstLine="480"/>
        <w:rPr>
          <w:rFonts w:cs="Times New Roman"/>
          <w:szCs w:val="24"/>
        </w:rPr>
      </w:pPr>
      <w:r>
        <w:rPr>
          <w:rFonts w:hint="eastAsia"/>
        </w:rPr>
        <w:t>修改方法</w:t>
      </w:r>
      <w:r>
        <w:rPr>
          <w:rFonts w:cs="Times New Roman" w:hint="eastAsia"/>
          <w:szCs w:val="24"/>
        </w:rPr>
        <w:t>及理由</w:t>
      </w:r>
      <w:r>
        <w:rPr>
          <w:rFonts w:hint="eastAsia"/>
        </w:rPr>
        <w:t>：</w:t>
      </w:r>
    </w:p>
    <w:p w14:paraId="4525AEF0" w14:textId="77777777" w:rsidR="00D4394E" w:rsidRDefault="00000000">
      <w:pPr>
        <w:adjustRightInd w:val="0"/>
        <w:snapToGrid w:val="0"/>
        <w:spacing w:line="240" w:lineRule="auto"/>
        <w:ind w:firstLine="480"/>
        <w:rPr>
          <w:rFonts w:cs="Times New Roman"/>
          <w:szCs w:val="24"/>
        </w:rPr>
      </w:pPr>
      <w:r>
        <w:rPr>
          <w:rFonts w:cs="Times New Roman" w:hint="eastAsia"/>
          <w:szCs w:val="24"/>
        </w:rPr>
        <w:t>原标准</w:t>
      </w:r>
      <w:r>
        <w:rPr>
          <w:rFonts w:cs="Times New Roman"/>
          <w:szCs w:val="24"/>
        </w:rPr>
        <w:t xml:space="preserve">4.14.2 </w:t>
      </w:r>
      <w:r>
        <w:rPr>
          <w:rFonts w:cs="Times New Roman" w:hint="eastAsia"/>
          <w:szCs w:val="24"/>
        </w:rPr>
        <w:t>“收集”与“存放”两词易引起歧义，故改为“</w:t>
      </w:r>
      <w:r>
        <w:rPr>
          <w:rFonts w:cs="Times New Roman"/>
          <w:szCs w:val="24"/>
        </w:rPr>
        <w:t>......</w:t>
      </w:r>
      <w:r>
        <w:rPr>
          <w:rFonts w:cs="Times New Roman" w:hint="eastAsia"/>
          <w:szCs w:val="24"/>
        </w:rPr>
        <w:t>废弃物的集中存放设施</w:t>
      </w:r>
      <w:r>
        <w:rPr>
          <w:rFonts w:cs="Times New Roman"/>
          <w:szCs w:val="24"/>
        </w:rPr>
        <w:t>......</w:t>
      </w:r>
      <w:r>
        <w:rPr>
          <w:rFonts w:cs="Times New Roman" w:hint="eastAsia"/>
          <w:szCs w:val="24"/>
        </w:rPr>
        <w:t>”。</w:t>
      </w:r>
    </w:p>
    <w:p w14:paraId="51B4F425" w14:textId="77777777" w:rsidR="00D4394E" w:rsidRDefault="00D4394E">
      <w:pPr>
        <w:adjustRightInd w:val="0"/>
        <w:snapToGrid w:val="0"/>
        <w:spacing w:line="240" w:lineRule="auto"/>
        <w:ind w:firstLine="480"/>
        <w:rPr>
          <w:rFonts w:cs="Times New Roman"/>
          <w:szCs w:val="24"/>
        </w:rPr>
      </w:pPr>
    </w:p>
    <w:p w14:paraId="260709CF" w14:textId="77777777" w:rsidR="00D4394E" w:rsidRDefault="00000000">
      <w:pPr>
        <w:adjustRightInd w:val="0"/>
        <w:snapToGrid w:val="0"/>
        <w:spacing w:line="240" w:lineRule="auto"/>
        <w:ind w:firstLine="480"/>
        <w:rPr>
          <w:rFonts w:cs="Times New Roman"/>
          <w:szCs w:val="24"/>
        </w:rPr>
      </w:pPr>
      <w:r>
        <w:rPr>
          <w:rFonts w:ascii="楷体" w:eastAsia="楷体" w:hAnsi="楷体" w:cs="楷体"/>
          <w:b/>
          <w:bCs/>
          <w:szCs w:val="24"/>
        </w:rPr>
        <w:t xml:space="preserve">4.13 </w:t>
      </w:r>
      <w:r>
        <w:rPr>
          <w:rFonts w:ascii="楷体" w:eastAsia="楷体" w:hAnsi="楷体" w:cs="楷体" w:hint="eastAsia"/>
          <w:b/>
          <w:bCs/>
          <w:szCs w:val="24"/>
        </w:rPr>
        <w:t>标志标识</w:t>
      </w:r>
    </w:p>
    <w:p w14:paraId="770FFFE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3BD9E3A4" w14:textId="77777777" w:rsidR="00D4394E" w:rsidRDefault="00000000">
      <w:pPr>
        <w:adjustRightInd w:val="0"/>
        <w:snapToGrid w:val="0"/>
        <w:spacing w:line="240" w:lineRule="auto"/>
        <w:ind w:firstLine="480"/>
        <w:rPr>
          <w:rFonts w:cs="Times New Roman"/>
          <w:szCs w:val="24"/>
        </w:rPr>
      </w:pPr>
      <w:r>
        <w:rPr>
          <w:rFonts w:cs="Times New Roman" w:hint="eastAsia"/>
          <w:szCs w:val="24"/>
        </w:rPr>
        <w:t>将原标准“</w:t>
      </w:r>
      <w:r>
        <w:rPr>
          <w:rFonts w:cs="Times New Roman" w:hint="eastAsia"/>
          <w:szCs w:val="24"/>
        </w:rPr>
        <w:t>4.16</w:t>
      </w:r>
      <w:r>
        <w:rPr>
          <w:rFonts w:cs="Times New Roman" w:hint="eastAsia"/>
          <w:szCs w:val="24"/>
        </w:rPr>
        <w:t>标志标识”</w:t>
      </w:r>
      <w:r>
        <w:rPr>
          <w:rFonts w:cs="Times New Roman" w:hint="eastAsia"/>
          <w:szCs w:val="24"/>
        </w:rPr>
        <w:t>9</w:t>
      </w:r>
      <w:r>
        <w:rPr>
          <w:rFonts w:cs="Times New Roman" w:hint="eastAsia"/>
          <w:szCs w:val="24"/>
        </w:rPr>
        <w:t>条内容，按照总体要求到各场所特殊要求的原则修改各条款顺序。修订后本标准“</w:t>
      </w:r>
      <w:r>
        <w:rPr>
          <w:rFonts w:cs="Times New Roman" w:hint="eastAsia"/>
          <w:szCs w:val="24"/>
        </w:rPr>
        <w:t>5.1.9</w:t>
      </w:r>
      <w:r>
        <w:rPr>
          <w:rFonts w:cs="Times New Roman"/>
          <w:szCs w:val="24"/>
        </w:rPr>
        <w:t xml:space="preserve"> </w:t>
      </w:r>
      <w:r>
        <w:rPr>
          <w:rFonts w:cs="Times New Roman" w:hint="eastAsia"/>
          <w:szCs w:val="24"/>
        </w:rPr>
        <w:t>标志标识”内容仍保持</w:t>
      </w:r>
      <w:r>
        <w:rPr>
          <w:rFonts w:cs="Times New Roman" w:hint="eastAsia"/>
          <w:szCs w:val="24"/>
        </w:rPr>
        <w:t>9</w:t>
      </w:r>
      <w:r>
        <w:rPr>
          <w:rFonts w:cs="Times New Roman" w:hint="eastAsia"/>
          <w:szCs w:val="24"/>
        </w:rPr>
        <w:t>条。</w:t>
      </w:r>
    </w:p>
    <w:p w14:paraId="30FEDB6D" w14:textId="77777777" w:rsidR="00D4394E" w:rsidRDefault="00D4394E">
      <w:pPr>
        <w:adjustRightInd w:val="0"/>
        <w:snapToGrid w:val="0"/>
        <w:spacing w:line="240" w:lineRule="auto"/>
        <w:ind w:firstLine="480"/>
        <w:rPr>
          <w:rFonts w:cs="Times New Roman"/>
          <w:szCs w:val="24"/>
        </w:rPr>
      </w:pPr>
    </w:p>
    <w:p w14:paraId="3C34BE10"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第</w:t>
      </w:r>
      <w:r>
        <w:rPr>
          <w:rFonts w:cs="Times New Roman"/>
          <w:b/>
          <w:bCs/>
          <w:szCs w:val="24"/>
        </w:rPr>
        <w:t>5</w:t>
      </w:r>
      <w:r>
        <w:rPr>
          <w:rFonts w:cs="Times New Roman" w:hint="eastAsia"/>
          <w:b/>
          <w:bCs/>
          <w:szCs w:val="24"/>
        </w:rPr>
        <w:t>章</w:t>
      </w:r>
      <w:r>
        <w:rPr>
          <w:rFonts w:cs="Times New Roman"/>
          <w:b/>
          <w:bCs/>
          <w:szCs w:val="24"/>
        </w:rPr>
        <w:t xml:space="preserve"> </w:t>
      </w:r>
      <w:r>
        <w:rPr>
          <w:rFonts w:cs="Times New Roman" w:hint="eastAsia"/>
          <w:b/>
          <w:bCs/>
          <w:szCs w:val="24"/>
        </w:rPr>
        <w:t>卫生管理</w:t>
      </w:r>
    </w:p>
    <w:p w14:paraId="4E6C410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第</w:t>
      </w:r>
      <w:r>
        <w:rPr>
          <w:rFonts w:cs="Times New Roman"/>
          <w:szCs w:val="24"/>
        </w:rPr>
        <w:t>5</w:t>
      </w:r>
      <w:r>
        <w:rPr>
          <w:rFonts w:cs="Times New Roman" w:hint="eastAsia"/>
          <w:szCs w:val="24"/>
        </w:rPr>
        <w:t>章卫生管理保留了原标准第</w:t>
      </w:r>
      <w:r>
        <w:rPr>
          <w:rFonts w:cs="Times New Roman"/>
          <w:szCs w:val="24"/>
        </w:rPr>
        <w:t>5</w:t>
      </w:r>
      <w:r>
        <w:rPr>
          <w:rFonts w:cs="Times New Roman" w:hint="eastAsia"/>
          <w:szCs w:val="24"/>
        </w:rPr>
        <w:t>章架构，修改的内容主要涉及经营者卫生管理责任、主动公示，依据《公共场所卫生管理条例》（</w:t>
      </w:r>
      <w:r>
        <w:rPr>
          <w:rFonts w:cs="Times New Roman" w:hint="eastAsia"/>
          <w:szCs w:val="24"/>
        </w:rPr>
        <w:t>2024</w:t>
      </w:r>
      <w:r>
        <w:rPr>
          <w:rFonts w:cs="Times New Roman" w:hint="eastAsia"/>
          <w:szCs w:val="24"/>
        </w:rPr>
        <w:t>版），将公共场所划分为卫生许可管理和卫生备案管理；依据公共场所健康风险高低以及实际情况，将卫生检测进行分类管理。</w:t>
      </w:r>
    </w:p>
    <w:p w14:paraId="2A06B15C"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5.1 </w:t>
      </w:r>
      <w:r>
        <w:rPr>
          <w:rFonts w:ascii="楷体" w:eastAsia="楷体" w:hAnsi="楷体" w:cs="楷体" w:hint="eastAsia"/>
          <w:b/>
          <w:bCs/>
          <w:szCs w:val="24"/>
        </w:rPr>
        <w:t>卫生管理组织</w:t>
      </w:r>
    </w:p>
    <w:p w14:paraId="5DCEE2C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64DEA34A" w14:textId="77777777" w:rsidR="00D4394E" w:rsidRDefault="00000000">
      <w:pPr>
        <w:adjustRightInd w:val="0"/>
        <w:snapToGrid w:val="0"/>
        <w:spacing w:line="240" w:lineRule="auto"/>
        <w:ind w:firstLineChars="200" w:firstLine="480"/>
      </w:pPr>
      <w:r>
        <w:rPr>
          <w:rFonts w:cs="Times New Roman"/>
          <w:szCs w:val="24"/>
        </w:rPr>
        <w:t xml:space="preserve">5.1.1 </w:t>
      </w:r>
      <w:r>
        <w:rPr>
          <w:rFonts w:hint="eastAsia"/>
        </w:rPr>
        <w:t>公共场所法定代表人或负责人是经营场所卫生安全第一责任人，应掌握相关卫生法律法规并熟悉本场所的卫生管理要求。公共场所经营者应主动公示卫生管理责任人。</w:t>
      </w:r>
    </w:p>
    <w:p w14:paraId="4C2B342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307CE06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hint="eastAsia"/>
          <w:szCs w:val="24"/>
        </w:rPr>
        <w:t>5.1.1</w:t>
      </w:r>
      <w:r>
        <w:rPr>
          <w:rFonts w:cs="Times New Roman"/>
          <w:szCs w:val="24"/>
        </w:rPr>
        <w:t xml:space="preserve"> </w:t>
      </w:r>
      <w:r>
        <w:rPr>
          <w:rFonts w:cs="Times New Roman" w:hint="eastAsia"/>
          <w:szCs w:val="24"/>
        </w:rPr>
        <w:t>公共场所法定代表人或负责人是经营场所卫生安全第一责任人，应掌握相关卫生法律法规并熟悉本场所的卫生管理要求”基础上，增加“</w:t>
      </w:r>
      <w:r>
        <w:rPr>
          <w:rFonts w:hint="eastAsia"/>
        </w:rPr>
        <w:t>公共场所经营者应主动公示卫生管理责任人</w:t>
      </w:r>
      <w:r>
        <w:rPr>
          <w:rFonts w:cs="Times New Roman" w:hint="eastAsia"/>
          <w:szCs w:val="24"/>
        </w:rPr>
        <w:t>”</w:t>
      </w:r>
      <w:r>
        <w:rPr>
          <w:rFonts w:hint="eastAsia"/>
        </w:rPr>
        <w:t>。</w:t>
      </w:r>
      <w:r>
        <w:rPr>
          <w:rFonts w:cs="Times New Roman" w:hint="eastAsia"/>
          <w:szCs w:val="24"/>
        </w:rPr>
        <w:t>要求公共场所经营者主动公示卫生</w:t>
      </w:r>
      <w:r>
        <w:rPr>
          <w:rFonts w:cs="Times New Roman" w:hint="eastAsia"/>
          <w:szCs w:val="24"/>
        </w:rPr>
        <w:lastRenderedPageBreak/>
        <w:t>管理责任人，主要是为了明确卫生安全的首要责任主体，便于公众监督，从而提升经营者的自律性和公共场所的整体卫生水平。这种做法能增强卫生管理的透明度，引导公众参与共同维护公共卫生安全。</w:t>
      </w:r>
    </w:p>
    <w:p w14:paraId="41B9FBFA" w14:textId="77777777" w:rsidR="00D4394E" w:rsidRDefault="00D4394E">
      <w:pPr>
        <w:adjustRightInd w:val="0"/>
        <w:snapToGrid w:val="0"/>
        <w:spacing w:line="240" w:lineRule="auto"/>
        <w:ind w:firstLineChars="200" w:firstLine="480"/>
        <w:rPr>
          <w:rFonts w:cs="Times New Roman"/>
          <w:szCs w:val="24"/>
        </w:rPr>
      </w:pPr>
    </w:p>
    <w:p w14:paraId="17048BE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5.1.2 </w:t>
      </w:r>
      <w:r>
        <w:rPr>
          <w:rFonts w:cs="Times New Roman" w:hint="eastAsia"/>
          <w:szCs w:val="24"/>
        </w:rPr>
        <w:t>为增加的内容</w:t>
      </w:r>
    </w:p>
    <w:p w14:paraId="2476D2FD"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5.1.3 </w:t>
      </w:r>
      <w:r>
        <w:rPr>
          <w:rFonts w:cs="Times New Roman" w:hint="eastAsia"/>
          <w:szCs w:val="24"/>
        </w:rPr>
        <w:t>为原标准</w:t>
      </w:r>
      <w:r>
        <w:rPr>
          <w:rFonts w:cs="Times New Roman"/>
          <w:szCs w:val="24"/>
        </w:rPr>
        <w:t>5.1.2</w:t>
      </w:r>
      <w:r>
        <w:rPr>
          <w:rFonts w:cs="Times New Roman" w:hint="eastAsia"/>
          <w:szCs w:val="24"/>
        </w:rPr>
        <w:t>的内容</w:t>
      </w:r>
    </w:p>
    <w:p w14:paraId="7D88F9BD" w14:textId="77777777" w:rsidR="00D4394E" w:rsidRDefault="00D4394E">
      <w:pPr>
        <w:adjustRightInd w:val="0"/>
        <w:snapToGrid w:val="0"/>
        <w:spacing w:line="240" w:lineRule="auto"/>
        <w:ind w:firstLineChars="200" w:firstLine="480"/>
        <w:rPr>
          <w:rFonts w:cs="Times New Roman"/>
          <w:szCs w:val="24"/>
        </w:rPr>
      </w:pPr>
    </w:p>
    <w:p w14:paraId="0AE1D2F5"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5.2 </w:t>
      </w:r>
      <w:r>
        <w:rPr>
          <w:rFonts w:ascii="楷体" w:eastAsia="楷体" w:hAnsi="楷体" w:cs="楷体" w:hint="eastAsia"/>
          <w:b/>
          <w:bCs/>
          <w:szCs w:val="24"/>
        </w:rPr>
        <w:t>卫生管理制度</w:t>
      </w:r>
    </w:p>
    <w:p w14:paraId="1466A7E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经营单位通过建立健全卫生管理制度、卫生管理档案制度，并严格按照实施，而保证其经营活动持续符合国家对公共场所的卫生要求。通过建立卫生管理档案，提供卫生管理全过程质量控制，用品用具消毒过程可追溯，依法承担责任。</w:t>
      </w:r>
    </w:p>
    <w:p w14:paraId="4143BA15"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5.2.1 </w:t>
      </w:r>
      <w:r>
        <w:rPr>
          <w:rFonts w:cs="Times New Roman" w:hint="eastAsia"/>
          <w:szCs w:val="24"/>
        </w:rPr>
        <w:t>公共场所应根据卫生法律法规、卫生标准、卫生规范的要求和本单位实际情况建立健全以下卫生管理制度，并对制度执行情况进行经常性检查。</w:t>
      </w:r>
    </w:p>
    <w:p w14:paraId="5E4692D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547B37F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将原标准中“</w:t>
      </w:r>
      <w:r>
        <w:rPr>
          <w:rFonts w:cs="Times New Roman" w:hint="eastAsia"/>
          <w:szCs w:val="24"/>
        </w:rPr>
        <w:t>5.2.1</w:t>
      </w:r>
      <w:r>
        <w:rPr>
          <w:rFonts w:cs="Times New Roman" w:hint="eastAsia"/>
          <w:szCs w:val="24"/>
        </w:rPr>
        <w:t>”和“</w:t>
      </w:r>
      <w:r>
        <w:rPr>
          <w:rFonts w:cs="Times New Roman" w:hint="eastAsia"/>
          <w:szCs w:val="24"/>
        </w:rPr>
        <w:t>5.2.2</w:t>
      </w:r>
      <w:r>
        <w:rPr>
          <w:rFonts w:cs="Times New Roman" w:hint="eastAsia"/>
          <w:szCs w:val="24"/>
        </w:rPr>
        <w:t>”合并成本标准“</w:t>
      </w:r>
      <w:r>
        <w:rPr>
          <w:rFonts w:cs="Times New Roman" w:hint="eastAsia"/>
          <w:szCs w:val="24"/>
        </w:rPr>
        <w:t>5.2.1</w:t>
      </w:r>
      <w:r>
        <w:rPr>
          <w:rFonts w:cs="Times New Roman" w:hint="eastAsia"/>
          <w:szCs w:val="24"/>
        </w:rPr>
        <w:t>”。实质性要求未作修改。原标准中“</w:t>
      </w:r>
      <w:r>
        <w:rPr>
          <w:rFonts w:cs="Times New Roman" w:hint="eastAsia"/>
          <w:szCs w:val="24"/>
        </w:rPr>
        <w:t>5.2.2</w:t>
      </w:r>
      <w:r>
        <w:rPr>
          <w:rFonts w:cs="Times New Roman" w:hint="eastAsia"/>
          <w:szCs w:val="24"/>
        </w:rPr>
        <w:t>卫生管理制度宜包括”修改为“</w:t>
      </w:r>
      <w:r>
        <w:rPr>
          <w:rFonts w:cs="Times New Roman" w:hint="eastAsia"/>
          <w:szCs w:val="24"/>
        </w:rPr>
        <w:t>5.2.1</w:t>
      </w:r>
      <w:r>
        <w:rPr>
          <w:rFonts w:cs="Times New Roman"/>
          <w:szCs w:val="24"/>
        </w:rPr>
        <w:t xml:space="preserve"> </w:t>
      </w:r>
      <w:r>
        <w:rPr>
          <w:rFonts w:hint="eastAsia"/>
        </w:rPr>
        <w:t>公共场所应根据卫生法律法规、卫生标准、卫生规范的要求和本单位实际情况建立健全以下卫生管理制度，并对制度执行情况进行经常性检查</w:t>
      </w:r>
      <w:r>
        <w:rPr>
          <w:rFonts w:cs="Times New Roman" w:hint="eastAsia"/>
          <w:szCs w:val="24"/>
        </w:rPr>
        <w:t>”。</w:t>
      </w:r>
    </w:p>
    <w:p w14:paraId="161DCE21" w14:textId="77777777" w:rsidR="00D4394E" w:rsidRDefault="00D4394E">
      <w:pPr>
        <w:adjustRightInd w:val="0"/>
        <w:snapToGrid w:val="0"/>
        <w:spacing w:line="240" w:lineRule="auto"/>
        <w:ind w:firstLineChars="200" w:firstLine="480"/>
        <w:rPr>
          <w:rFonts w:cs="Times New Roman"/>
          <w:szCs w:val="24"/>
        </w:rPr>
      </w:pPr>
    </w:p>
    <w:p w14:paraId="1079769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5.2.2 </w:t>
      </w:r>
      <w:r>
        <w:rPr>
          <w:rFonts w:cs="Times New Roman" w:hint="eastAsia"/>
          <w:szCs w:val="24"/>
        </w:rPr>
        <w:t>公共场所应根据经营特点制定相应的卫生操作规程，对环境清扫保洁、卫生设施设备的运行维护管理、物品的采购储存、公共用品用具清洗消毒等内容规定明确的工作程序和要求。</w:t>
      </w:r>
    </w:p>
    <w:p w14:paraId="1EC77E5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6645756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将原标准中“</w:t>
      </w:r>
      <w:r>
        <w:rPr>
          <w:rFonts w:cs="Times New Roman" w:hint="eastAsia"/>
          <w:szCs w:val="24"/>
        </w:rPr>
        <w:t>5.</w:t>
      </w:r>
      <w:r>
        <w:rPr>
          <w:rFonts w:cs="Times New Roman"/>
          <w:szCs w:val="24"/>
        </w:rPr>
        <w:t xml:space="preserve">3 </w:t>
      </w:r>
      <w:r>
        <w:rPr>
          <w:rFonts w:cs="Times New Roman" w:hint="eastAsia"/>
          <w:szCs w:val="24"/>
        </w:rPr>
        <w:t>操作规程”的“</w:t>
      </w:r>
      <w:r>
        <w:rPr>
          <w:rFonts w:cs="Times New Roman"/>
          <w:szCs w:val="24"/>
        </w:rPr>
        <w:t>5.3.1</w:t>
      </w:r>
      <w:r>
        <w:rPr>
          <w:rFonts w:cs="Times New Roman" w:hint="eastAsia"/>
          <w:szCs w:val="24"/>
        </w:rPr>
        <w:t>”修改为“</w:t>
      </w:r>
      <w:r>
        <w:rPr>
          <w:rFonts w:cs="Times New Roman"/>
          <w:szCs w:val="24"/>
        </w:rPr>
        <w:t>5.2.2</w:t>
      </w:r>
      <w:r>
        <w:rPr>
          <w:rFonts w:cs="Times New Roman" w:hint="eastAsia"/>
          <w:szCs w:val="24"/>
        </w:rPr>
        <w:t>”。将“</w:t>
      </w:r>
      <w:r>
        <w:rPr>
          <w:rFonts w:cs="Times New Roman"/>
          <w:szCs w:val="24"/>
        </w:rPr>
        <w:t>5.3.2</w:t>
      </w:r>
      <w:r>
        <w:rPr>
          <w:rFonts w:cs="Times New Roman" w:hint="eastAsia"/>
          <w:szCs w:val="24"/>
        </w:rPr>
        <w:t>”部分内容修改至“</w:t>
      </w:r>
      <w:r>
        <w:rPr>
          <w:rFonts w:cs="Times New Roman"/>
          <w:szCs w:val="24"/>
        </w:rPr>
        <w:t>6.2</w:t>
      </w:r>
      <w:r>
        <w:rPr>
          <w:rFonts w:cs="Times New Roman" w:hint="eastAsia"/>
          <w:szCs w:val="24"/>
        </w:rPr>
        <w:t>从业人员培训”。</w:t>
      </w:r>
    </w:p>
    <w:p w14:paraId="11B63FBF" w14:textId="77777777" w:rsidR="00D4394E" w:rsidRDefault="00D4394E">
      <w:pPr>
        <w:adjustRightInd w:val="0"/>
        <w:snapToGrid w:val="0"/>
        <w:spacing w:line="240" w:lineRule="auto"/>
        <w:ind w:firstLineChars="200" w:firstLine="480"/>
        <w:rPr>
          <w:rFonts w:cs="Times New Roman"/>
          <w:szCs w:val="24"/>
        </w:rPr>
      </w:pPr>
    </w:p>
    <w:p w14:paraId="17B84CDE"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5.3 </w:t>
      </w:r>
      <w:r>
        <w:rPr>
          <w:rFonts w:ascii="楷体" w:eastAsia="楷体" w:hAnsi="楷体" w:cs="楷体" w:hint="eastAsia"/>
          <w:b/>
          <w:bCs/>
          <w:szCs w:val="24"/>
        </w:rPr>
        <w:t>证件管理</w:t>
      </w:r>
    </w:p>
    <w:p w14:paraId="1469A942"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b/>
          <w:bCs/>
          <w:szCs w:val="24"/>
        </w:rPr>
        <w:t xml:space="preserve">5.4 </w:t>
      </w:r>
      <w:r>
        <w:rPr>
          <w:rFonts w:ascii="楷体" w:eastAsia="楷体" w:hAnsi="楷体" w:cs="楷体" w:hint="eastAsia"/>
          <w:b/>
          <w:bCs/>
          <w:szCs w:val="24"/>
        </w:rPr>
        <w:t>档案管理</w:t>
      </w:r>
    </w:p>
    <w:p w14:paraId="348EFCD4"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5.4.1 </w:t>
      </w:r>
      <w:r>
        <w:rPr>
          <w:rFonts w:cs="Times New Roman" w:hint="eastAsia"/>
          <w:szCs w:val="24"/>
        </w:rPr>
        <w:t>公共场所应建立包括以下内容的卫生管理档案。使用集中空调通风系统的，还应按照</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要求建立集中空调通风系统卫生管理档案。</w:t>
      </w:r>
    </w:p>
    <w:p w14:paraId="6C861F2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7066796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大型公共场所一般安装有集中空调系统，集中空调通风系统是重要的健康危害来源。本标准</w:t>
      </w:r>
      <w:r>
        <w:rPr>
          <w:rFonts w:cs="Times New Roman" w:hint="eastAsia"/>
          <w:szCs w:val="24"/>
        </w:rPr>
        <w:t>5.</w:t>
      </w:r>
      <w:r>
        <w:rPr>
          <w:rFonts w:cs="Times New Roman"/>
          <w:szCs w:val="24"/>
        </w:rPr>
        <w:t>4</w:t>
      </w:r>
      <w:r>
        <w:rPr>
          <w:rFonts w:cs="Times New Roman" w:hint="eastAsia"/>
          <w:szCs w:val="24"/>
        </w:rPr>
        <w:t>.1</w:t>
      </w:r>
      <w:r>
        <w:rPr>
          <w:rFonts w:cs="Times New Roman" w:hint="eastAsia"/>
          <w:szCs w:val="24"/>
        </w:rPr>
        <w:t>增加“使用集中空调通风系统的，还应按照</w:t>
      </w:r>
      <w:r>
        <w:rPr>
          <w:rFonts w:cs="Times New Roman" w:hint="eastAsia"/>
          <w:szCs w:val="24"/>
        </w:rPr>
        <w:t>WS</w:t>
      </w:r>
      <w:r>
        <w:rPr>
          <w:rFonts w:cs="Times New Roman"/>
          <w:szCs w:val="24"/>
        </w:rPr>
        <w:t xml:space="preserve"> </w:t>
      </w:r>
      <w:r>
        <w:rPr>
          <w:rFonts w:cs="Times New Roman" w:hint="eastAsia"/>
          <w:szCs w:val="24"/>
        </w:rPr>
        <w:t>10013</w:t>
      </w:r>
      <w:r>
        <w:rPr>
          <w:rFonts w:cs="Times New Roman" w:hint="eastAsia"/>
          <w:szCs w:val="24"/>
        </w:rPr>
        <w:t>建立集中空调通风系统卫生管理档案”。</w:t>
      </w:r>
    </w:p>
    <w:p w14:paraId="264C5B0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将第</w:t>
      </w:r>
      <w:r>
        <w:rPr>
          <w:rFonts w:cs="Times New Roman"/>
          <w:szCs w:val="24"/>
        </w:rPr>
        <w:t>2</w:t>
      </w:r>
      <w:r>
        <w:rPr>
          <w:rFonts w:cs="Times New Roman" w:hint="eastAsia"/>
          <w:szCs w:val="24"/>
        </w:rPr>
        <w:t>点，修改为“卫生许可证或卫生备案凭证”。在《公共场所卫生管理条例》（</w:t>
      </w:r>
      <w:r>
        <w:rPr>
          <w:rFonts w:cs="Times New Roman"/>
          <w:szCs w:val="24"/>
        </w:rPr>
        <w:t>2024</w:t>
      </w:r>
      <w:r>
        <w:rPr>
          <w:rFonts w:cs="Times New Roman" w:hint="eastAsia"/>
          <w:szCs w:val="24"/>
        </w:rPr>
        <w:t>版）中，将公共场所划分为许可管理和备案管理，实施备案管理的需取得卫生备案凭证，因此本点依据此变化进行修改。</w:t>
      </w:r>
    </w:p>
    <w:p w14:paraId="5A4D0A1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将第</w:t>
      </w:r>
      <w:r>
        <w:rPr>
          <w:rFonts w:cs="Times New Roman" w:hint="eastAsia"/>
          <w:szCs w:val="24"/>
        </w:rPr>
        <w:t>5</w:t>
      </w:r>
      <w:r>
        <w:rPr>
          <w:rFonts w:cs="Times New Roman" w:hint="eastAsia"/>
          <w:szCs w:val="24"/>
        </w:rPr>
        <w:t>点修改为“公共场所传染病、健康危害事故应急预案、演练记录及事故处置情况记录”。与全标准表述保持一致，以及内容呼应。</w:t>
      </w:r>
    </w:p>
    <w:p w14:paraId="5887DE94" w14:textId="77777777" w:rsidR="00D4394E" w:rsidRDefault="00D4394E">
      <w:pPr>
        <w:adjustRightInd w:val="0"/>
        <w:snapToGrid w:val="0"/>
        <w:spacing w:line="240" w:lineRule="auto"/>
        <w:ind w:firstLineChars="200" w:firstLine="480"/>
        <w:rPr>
          <w:rFonts w:cs="Times New Roman"/>
          <w:szCs w:val="24"/>
        </w:rPr>
      </w:pPr>
    </w:p>
    <w:p w14:paraId="6F72BAA4"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5.4.2 </w:t>
      </w:r>
      <w:r>
        <w:rPr>
          <w:rFonts w:cs="Times New Roman" w:hint="eastAsia"/>
          <w:szCs w:val="24"/>
        </w:rPr>
        <w:t>为原标准</w:t>
      </w:r>
      <w:r>
        <w:rPr>
          <w:rFonts w:cs="Times New Roman"/>
          <w:szCs w:val="24"/>
        </w:rPr>
        <w:t>5.5.2</w:t>
      </w:r>
      <w:r>
        <w:rPr>
          <w:rFonts w:cs="Times New Roman" w:hint="eastAsia"/>
          <w:szCs w:val="24"/>
        </w:rPr>
        <w:t>的内容</w:t>
      </w:r>
    </w:p>
    <w:p w14:paraId="1F6F0E7B" w14:textId="77777777" w:rsidR="00D4394E" w:rsidRDefault="00D4394E">
      <w:pPr>
        <w:adjustRightInd w:val="0"/>
        <w:snapToGrid w:val="0"/>
        <w:spacing w:line="240" w:lineRule="auto"/>
        <w:ind w:firstLineChars="200" w:firstLine="480"/>
        <w:rPr>
          <w:rFonts w:cs="Times New Roman"/>
          <w:szCs w:val="24"/>
        </w:rPr>
      </w:pPr>
    </w:p>
    <w:p w14:paraId="028B438D" w14:textId="77777777" w:rsidR="00D4394E" w:rsidRDefault="00000000">
      <w:pPr>
        <w:adjustRightInd w:val="0"/>
        <w:snapToGrid w:val="0"/>
        <w:spacing w:line="240" w:lineRule="auto"/>
        <w:ind w:firstLineChars="200" w:firstLine="482"/>
        <w:rPr>
          <w:rFonts w:ascii="楷体" w:eastAsia="楷体" w:hAnsi="楷体" w:cs="楷体" w:hint="eastAsia"/>
          <w:b/>
          <w:bCs/>
          <w:szCs w:val="24"/>
        </w:rPr>
      </w:pPr>
      <w:r>
        <w:rPr>
          <w:rFonts w:ascii="楷体" w:eastAsia="楷体" w:hAnsi="楷体" w:cs="楷体"/>
          <w:b/>
          <w:bCs/>
          <w:szCs w:val="24"/>
        </w:rPr>
        <w:t xml:space="preserve">5.5 </w:t>
      </w:r>
      <w:r>
        <w:rPr>
          <w:rFonts w:ascii="楷体" w:eastAsia="楷体" w:hAnsi="楷体" w:cs="楷体" w:hint="eastAsia"/>
          <w:b/>
          <w:bCs/>
          <w:szCs w:val="24"/>
        </w:rPr>
        <w:t>传染病和健康危害事故管理</w:t>
      </w:r>
    </w:p>
    <w:p w14:paraId="33AB3AE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w:t>
      </w:r>
      <w:r>
        <w:rPr>
          <w:rFonts w:cs="Times New Roman" w:hint="eastAsia"/>
          <w:szCs w:val="24"/>
        </w:rPr>
        <w:t>5.6</w:t>
      </w:r>
      <w:r>
        <w:rPr>
          <w:rFonts w:cs="Times New Roman"/>
          <w:szCs w:val="24"/>
        </w:rPr>
        <w:t xml:space="preserve"> </w:t>
      </w:r>
      <w:r>
        <w:rPr>
          <w:rFonts w:cs="Times New Roman" w:hint="eastAsia"/>
          <w:szCs w:val="24"/>
        </w:rPr>
        <w:t>传染病和健康危害事故管理”进行拆分和优化。将原标准</w:t>
      </w:r>
      <w:r>
        <w:rPr>
          <w:rFonts w:cs="Times New Roman" w:hint="eastAsia"/>
          <w:szCs w:val="24"/>
        </w:rPr>
        <w:lastRenderedPageBreak/>
        <w:t>“</w:t>
      </w:r>
      <w:r>
        <w:rPr>
          <w:rFonts w:cs="Times New Roman"/>
          <w:szCs w:val="24"/>
        </w:rPr>
        <w:t>5.6.1</w:t>
      </w:r>
      <w:r>
        <w:rPr>
          <w:rFonts w:cs="Times New Roman" w:hint="eastAsia"/>
          <w:szCs w:val="24"/>
        </w:rPr>
        <w:t>、</w:t>
      </w:r>
      <w:r>
        <w:rPr>
          <w:rFonts w:cs="Times New Roman"/>
          <w:szCs w:val="24"/>
        </w:rPr>
        <w:t>5.6.</w:t>
      </w:r>
      <w:r>
        <w:rPr>
          <w:rFonts w:cs="Times New Roman" w:hint="eastAsia"/>
          <w:szCs w:val="24"/>
        </w:rPr>
        <w:t>2</w:t>
      </w:r>
      <w:r>
        <w:rPr>
          <w:rFonts w:cs="Times New Roman" w:hint="eastAsia"/>
          <w:szCs w:val="24"/>
        </w:rPr>
        <w:t>、</w:t>
      </w:r>
      <w:r>
        <w:rPr>
          <w:rFonts w:cs="Times New Roman"/>
          <w:szCs w:val="24"/>
        </w:rPr>
        <w:t>5.6.3</w:t>
      </w:r>
      <w:r>
        <w:rPr>
          <w:rFonts w:cs="Times New Roman" w:hint="eastAsia"/>
          <w:szCs w:val="24"/>
        </w:rPr>
        <w:t>、</w:t>
      </w:r>
      <w:r>
        <w:rPr>
          <w:rFonts w:cs="Times New Roman"/>
          <w:szCs w:val="24"/>
        </w:rPr>
        <w:t>5.6.4</w:t>
      </w:r>
      <w:r>
        <w:rPr>
          <w:rFonts w:cs="Times New Roman" w:hint="eastAsia"/>
          <w:szCs w:val="24"/>
        </w:rPr>
        <w:t>”合并凝练至</w:t>
      </w:r>
      <w:r>
        <w:rPr>
          <w:rFonts w:cs="Times New Roman"/>
          <w:szCs w:val="24"/>
        </w:rPr>
        <w:t>5.5</w:t>
      </w:r>
      <w:r>
        <w:rPr>
          <w:rFonts w:cs="Times New Roman" w:hint="eastAsia"/>
          <w:szCs w:val="24"/>
        </w:rPr>
        <w:t>，原标准“</w:t>
      </w:r>
      <w:r>
        <w:rPr>
          <w:rFonts w:cs="Times New Roman"/>
          <w:szCs w:val="24"/>
        </w:rPr>
        <w:t>5.6.5</w:t>
      </w:r>
      <w:r>
        <w:rPr>
          <w:rFonts w:cs="Times New Roman" w:hint="eastAsia"/>
          <w:szCs w:val="24"/>
        </w:rPr>
        <w:t>”合并至“</w:t>
      </w:r>
      <w:r>
        <w:rPr>
          <w:rFonts w:cs="Times New Roman"/>
          <w:szCs w:val="24"/>
        </w:rPr>
        <w:t>6.1</w:t>
      </w:r>
      <w:r>
        <w:rPr>
          <w:rFonts w:cs="Times New Roman" w:hint="eastAsia"/>
          <w:szCs w:val="24"/>
        </w:rPr>
        <w:t xml:space="preserve"> </w:t>
      </w:r>
      <w:r>
        <w:rPr>
          <w:rFonts w:cs="Times New Roman" w:hint="eastAsia"/>
          <w:szCs w:val="24"/>
        </w:rPr>
        <w:t>从业人员健康管理”，原标准“</w:t>
      </w:r>
      <w:r>
        <w:rPr>
          <w:rFonts w:cs="Times New Roman"/>
          <w:szCs w:val="24"/>
        </w:rPr>
        <w:t>5.6.6</w:t>
      </w:r>
      <w:r>
        <w:rPr>
          <w:rFonts w:cs="Times New Roman" w:hint="eastAsia"/>
          <w:szCs w:val="24"/>
        </w:rPr>
        <w:t>”对“公共场所进行了限定”。将部分条款修改方法理由简述如下：</w:t>
      </w:r>
    </w:p>
    <w:p w14:paraId="4AFFC973"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5.5.1 </w:t>
      </w:r>
      <w:r>
        <w:rPr>
          <w:rFonts w:cs="Times New Roman" w:hint="eastAsia"/>
          <w:szCs w:val="24"/>
        </w:rPr>
        <w:t>公共场所经营者应当制定公共场所传染病和健康危害事故应急预案，至少每</w:t>
      </w:r>
      <w:r>
        <w:rPr>
          <w:rFonts w:cs="Times New Roman" w:hint="eastAsia"/>
          <w:szCs w:val="24"/>
        </w:rPr>
        <w:t>3</w:t>
      </w:r>
      <w:r>
        <w:rPr>
          <w:rFonts w:cs="Times New Roman" w:hint="eastAsia"/>
          <w:szCs w:val="24"/>
        </w:rPr>
        <w:t>年进行一次应急演练。定期检查各项卫生制度、措施的落实情况，及时消除危害公众健康的隐患。</w:t>
      </w:r>
    </w:p>
    <w:p w14:paraId="51E0123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1C27FF8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依据《传染病疫情应急预案管理办法》（</w:t>
      </w:r>
      <w:r>
        <w:rPr>
          <w:rFonts w:cs="Times New Roman" w:hint="eastAsia"/>
          <w:szCs w:val="24"/>
        </w:rPr>
        <w:t>2024</w:t>
      </w:r>
      <w:r>
        <w:rPr>
          <w:rFonts w:cs="Times New Roman" w:hint="eastAsia"/>
          <w:szCs w:val="24"/>
        </w:rPr>
        <w:t>），在原标准“</w:t>
      </w:r>
      <w:r>
        <w:rPr>
          <w:rFonts w:cs="Times New Roman" w:hint="eastAsia"/>
          <w:szCs w:val="24"/>
        </w:rPr>
        <w:t>5.6.1</w:t>
      </w:r>
      <w:r>
        <w:rPr>
          <w:rFonts w:cs="Times New Roman"/>
          <w:szCs w:val="24"/>
        </w:rPr>
        <w:t xml:space="preserve"> </w:t>
      </w:r>
      <w:r>
        <w:rPr>
          <w:rFonts w:cs="Times New Roman" w:hint="eastAsia"/>
          <w:szCs w:val="24"/>
        </w:rPr>
        <w:t>公共场所应执行各项卫生管理制度，场所内卫生设施应正常使用，卫生质量符合卫生要求”“</w:t>
      </w:r>
      <w:r>
        <w:rPr>
          <w:rFonts w:cs="Times New Roman"/>
          <w:szCs w:val="24"/>
        </w:rPr>
        <w:t xml:space="preserve">5.6.2 </w:t>
      </w:r>
      <w:r>
        <w:rPr>
          <w:rFonts w:cs="Times New Roman" w:hint="eastAsia"/>
          <w:szCs w:val="24"/>
        </w:rPr>
        <w:t>定期检查各项卫生制度、操作规程落实情况，及时消除健康危害隐患，防止传染病传播流行和健康危害事故的发生”“</w:t>
      </w:r>
      <w:r>
        <w:rPr>
          <w:rFonts w:cs="Times New Roman"/>
          <w:szCs w:val="24"/>
        </w:rPr>
        <w:t xml:space="preserve">5.6.4 </w:t>
      </w:r>
      <w:r>
        <w:rPr>
          <w:rFonts w:cs="Times New Roman" w:hint="eastAsia"/>
          <w:szCs w:val="24"/>
        </w:rPr>
        <w:t>公共场所应制定传染病、健康危害事故应急预案”基础上，将部分内容合并至卫生管理制度和卫生要求，增加“应当制定公共场所传染病和健康危害事故应急预案，至少每</w:t>
      </w:r>
      <w:r>
        <w:rPr>
          <w:rFonts w:cs="Times New Roman" w:hint="eastAsia"/>
          <w:szCs w:val="24"/>
        </w:rPr>
        <w:t>3</w:t>
      </w:r>
      <w:r>
        <w:rPr>
          <w:rFonts w:cs="Times New Roman" w:hint="eastAsia"/>
          <w:szCs w:val="24"/>
        </w:rPr>
        <w:t>年进行一次应急演练”，并保留“定期检查各项卫生制度、操作规程落实情况，及时消除健康危害隐患”。</w:t>
      </w:r>
    </w:p>
    <w:p w14:paraId="4583C52D" w14:textId="77777777" w:rsidR="00D4394E" w:rsidRDefault="00D4394E">
      <w:pPr>
        <w:adjustRightInd w:val="0"/>
        <w:snapToGrid w:val="0"/>
        <w:spacing w:line="240" w:lineRule="auto"/>
        <w:ind w:firstLineChars="200" w:firstLine="480"/>
        <w:rPr>
          <w:rFonts w:cs="Times New Roman"/>
          <w:szCs w:val="24"/>
        </w:rPr>
      </w:pPr>
    </w:p>
    <w:p w14:paraId="6B3019F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5.5.2</w:t>
      </w:r>
      <w:r>
        <w:rPr>
          <w:rFonts w:cs="Times New Roman" w:hint="eastAsia"/>
          <w:szCs w:val="24"/>
        </w:rPr>
        <w:t xml:space="preserve"> </w:t>
      </w:r>
      <w:r>
        <w:rPr>
          <w:rFonts w:cs="Times New Roman" w:hint="eastAsia"/>
          <w:szCs w:val="24"/>
        </w:rPr>
        <w:t>公共场所发生传染病和健康危害事故时，经营者应配合管理部门立即处置，防止危害扩大。</w:t>
      </w:r>
    </w:p>
    <w:p w14:paraId="2F61625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46075BD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在原标准“将原标准“</w:t>
      </w:r>
      <w:r>
        <w:rPr>
          <w:rFonts w:cs="Times New Roman" w:hint="eastAsia"/>
          <w:szCs w:val="24"/>
        </w:rPr>
        <w:t>5.6.3</w:t>
      </w:r>
      <w:r>
        <w:rPr>
          <w:rFonts w:cs="Times New Roman"/>
          <w:szCs w:val="24"/>
        </w:rPr>
        <w:t xml:space="preserve"> </w:t>
      </w:r>
      <w:r>
        <w:rPr>
          <w:rFonts w:cs="Times New Roman" w:hint="eastAsia"/>
          <w:szCs w:val="24"/>
        </w:rPr>
        <w:t>公共场所发生传染病和健康危害事故，经营者应按卫生法律法规要求及时报告”“</w:t>
      </w:r>
      <w:r>
        <w:rPr>
          <w:rFonts w:cs="Times New Roman" w:hint="eastAsia"/>
          <w:szCs w:val="24"/>
        </w:rPr>
        <w:t>5.6.4</w:t>
      </w:r>
      <w:r>
        <w:rPr>
          <w:rFonts w:cs="Times New Roman"/>
          <w:szCs w:val="24"/>
        </w:rPr>
        <w:t xml:space="preserve"> </w:t>
      </w:r>
      <w:r>
        <w:rPr>
          <w:rFonts w:cs="Times New Roman" w:hint="eastAsia"/>
          <w:szCs w:val="24"/>
        </w:rPr>
        <w:t>发生传染性疾病流行和危害健康事故时，应立即处置，防止危害扩大”的基础上，合并了经营者职责，明确了经营者应配合管理部门的要求。</w:t>
      </w:r>
    </w:p>
    <w:p w14:paraId="235AD04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5.5.3 </w:t>
      </w:r>
      <w:r>
        <w:rPr>
          <w:rFonts w:cs="Times New Roman" w:hint="eastAsia"/>
          <w:szCs w:val="24"/>
        </w:rPr>
        <w:t>为原标准</w:t>
      </w:r>
      <w:r>
        <w:rPr>
          <w:rFonts w:cs="Times New Roman" w:hint="eastAsia"/>
          <w:szCs w:val="24"/>
        </w:rPr>
        <w:t>5.</w:t>
      </w:r>
      <w:r>
        <w:rPr>
          <w:rFonts w:cs="Times New Roman"/>
          <w:szCs w:val="24"/>
        </w:rPr>
        <w:t>6.5</w:t>
      </w:r>
      <w:r>
        <w:rPr>
          <w:rFonts w:cs="Times New Roman" w:hint="eastAsia"/>
          <w:szCs w:val="24"/>
        </w:rPr>
        <w:t>的内容</w:t>
      </w:r>
    </w:p>
    <w:p w14:paraId="6DF3E0DE" w14:textId="77777777" w:rsidR="00D4394E" w:rsidRDefault="00D4394E">
      <w:pPr>
        <w:adjustRightInd w:val="0"/>
        <w:snapToGrid w:val="0"/>
        <w:spacing w:line="240" w:lineRule="auto"/>
        <w:ind w:firstLineChars="200" w:firstLine="480"/>
        <w:rPr>
          <w:rFonts w:cs="Times New Roman"/>
          <w:szCs w:val="24"/>
        </w:rPr>
      </w:pPr>
    </w:p>
    <w:p w14:paraId="400698A3" w14:textId="77777777" w:rsidR="00D4394E" w:rsidRDefault="00000000">
      <w:pPr>
        <w:adjustRightInd w:val="0"/>
        <w:snapToGrid w:val="0"/>
        <w:spacing w:line="240" w:lineRule="auto"/>
        <w:ind w:firstLineChars="200" w:firstLine="480"/>
      </w:pPr>
      <w:r>
        <w:rPr>
          <w:rFonts w:cs="Times New Roman"/>
          <w:szCs w:val="24"/>
        </w:rPr>
        <w:t xml:space="preserve">5.5.4 </w:t>
      </w:r>
      <w:r>
        <w:rPr>
          <w:rFonts w:hint="eastAsia"/>
        </w:rPr>
        <w:t>宾馆、旅店、招待所等住宿场所应在相应场所放置安全套或设置安全套发售设施。</w:t>
      </w:r>
    </w:p>
    <w:p w14:paraId="581A85F2"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修改方法及理由：</w:t>
      </w:r>
    </w:p>
    <w:p w14:paraId="0C9181DD" w14:textId="77777777" w:rsidR="00D4394E" w:rsidRDefault="00000000">
      <w:pPr>
        <w:adjustRightInd w:val="0"/>
        <w:snapToGrid w:val="0"/>
        <w:spacing w:line="240" w:lineRule="auto"/>
        <w:ind w:firstLineChars="200" w:firstLine="480"/>
      </w:pPr>
      <w:r>
        <w:rPr>
          <w:rFonts w:cs="Times New Roman" w:hint="eastAsia"/>
          <w:szCs w:val="24"/>
        </w:rPr>
        <w:t>将原标准“</w:t>
      </w:r>
      <w:r>
        <w:rPr>
          <w:rFonts w:cs="Times New Roman"/>
          <w:szCs w:val="24"/>
        </w:rPr>
        <w:t>5.6.6</w:t>
      </w:r>
      <w:r>
        <w:rPr>
          <w:rFonts w:cs="Times New Roman" w:hint="eastAsia"/>
          <w:szCs w:val="24"/>
        </w:rPr>
        <w:t>”前增加“</w:t>
      </w:r>
      <w:r>
        <w:rPr>
          <w:rFonts w:hint="eastAsia"/>
        </w:rPr>
        <w:t>宾馆、旅店、招待所等住宿场所”，强调了此条是针对住宿场所的要求。</w:t>
      </w:r>
    </w:p>
    <w:p w14:paraId="452FB2CF" w14:textId="77777777" w:rsidR="00D4394E" w:rsidRDefault="00D4394E">
      <w:pPr>
        <w:adjustRightInd w:val="0"/>
        <w:snapToGrid w:val="0"/>
        <w:spacing w:line="240" w:lineRule="auto"/>
        <w:ind w:firstLineChars="200" w:firstLine="480"/>
      </w:pPr>
    </w:p>
    <w:p w14:paraId="51EB7987"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5.6 卫生检测</w:t>
      </w:r>
    </w:p>
    <w:p w14:paraId="51A21113"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5.6.1 </w:t>
      </w:r>
      <w:r>
        <w:rPr>
          <w:rFonts w:cs="Times New Roman" w:hint="eastAsia"/>
          <w:szCs w:val="24"/>
        </w:rPr>
        <w:t>公共场所应按照卫生法律法规、卫生标准、卫生规范的规定对场所的空气质量、微小气候、水质、采光、照明、噪声、公共用品用具和集中空调通风系统等进行卫生检测。除小型理发店（</w:t>
      </w:r>
      <w:r>
        <w:rPr>
          <w:rFonts w:cs="Times New Roman" w:hint="eastAsia"/>
          <w:szCs w:val="24"/>
        </w:rPr>
        <w:t>5</w:t>
      </w:r>
      <w:r>
        <w:rPr>
          <w:rFonts w:cs="Times New Roman" w:hint="eastAsia"/>
          <w:szCs w:val="24"/>
        </w:rPr>
        <w:t>个及以下座椅）、公共交通工具外，公共场所每年卫生检测不少于一次。</w:t>
      </w:r>
    </w:p>
    <w:p w14:paraId="5175E85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w:t>
      </w:r>
    </w:p>
    <w:p w14:paraId="335FDED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hint="eastAsia"/>
          <w:szCs w:val="24"/>
        </w:rPr>
        <w:t>5.7.1</w:t>
      </w:r>
      <w:r>
        <w:rPr>
          <w:rFonts w:cs="Times New Roman"/>
          <w:szCs w:val="24"/>
        </w:rPr>
        <w:t xml:space="preserve"> </w:t>
      </w:r>
      <w:r>
        <w:rPr>
          <w:rFonts w:cs="Times New Roman" w:hint="eastAsia"/>
          <w:szCs w:val="24"/>
        </w:rPr>
        <w:t>公共场所应按照卫生法律法规、卫生标准、卫生规范的规定对场所的空气质量、微小气候、水质、采光、照明、噪声、公共用品用具和集中空调通风系统等进行卫生检测，每年不少于一次。”基础上，按照分类管理的原则，对于</w:t>
      </w:r>
      <w:r>
        <w:rPr>
          <w:rFonts w:cs="Times New Roman" w:hint="eastAsia"/>
          <w:szCs w:val="24"/>
        </w:rPr>
        <w:t>5</w:t>
      </w:r>
      <w:r>
        <w:rPr>
          <w:rFonts w:cs="Times New Roman" w:hint="eastAsia"/>
          <w:szCs w:val="24"/>
        </w:rPr>
        <w:t>个及以下座椅的理发场所、公共交通工具同样进行降级要求，体现了“分类管理、差异要求”的修订思路。</w:t>
      </w:r>
    </w:p>
    <w:p w14:paraId="7FF4107A" w14:textId="77777777" w:rsidR="00D4394E" w:rsidRDefault="00D4394E">
      <w:pPr>
        <w:adjustRightInd w:val="0"/>
        <w:snapToGrid w:val="0"/>
        <w:spacing w:line="240" w:lineRule="auto"/>
        <w:ind w:firstLineChars="200" w:firstLine="480"/>
        <w:rPr>
          <w:rFonts w:cs="Times New Roman"/>
          <w:szCs w:val="24"/>
        </w:rPr>
      </w:pPr>
    </w:p>
    <w:p w14:paraId="512911A1"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5.6.2 </w:t>
      </w:r>
      <w:r>
        <w:rPr>
          <w:rFonts w:cs="Times New Roman" w:hint="eastAsia"/>
          <w:szCs w:val="24"/>
        </w:rPr>
        <w:t>为原标准</w:t>
      </w:r>
      <w:r>
        <w:rPr>
          <w:rFonts w:cs="Times New Roman"/>
          <w:szCs w:val="24"/>
        </w:rPr>
        <w:t>5.7.2</w:t>
      </w:r>
      <w:r>
        <w:rPr>
          <w:rFonts w:cs="Times New Roman" w:hint="eastAsia"/>
          <w:szCs w:val="24"/>
        </w:rPr>
        <w:t>的内容</w:t>
      </w:r>
    </w:p>
    <w:p w14:paraId="2F962A53" w14:textId="77777777" w:rsidR="00D4394E" w:rsidRDefault="00000000">
      <w:pPr>
        <w:tabs>
          <w:tab w:val="left" w:pos="1157"/>
        </w:tabs>
        <w:adjustRightInd w:val="0"/>
        <w:snapToGrid w:val="0"/>
        <w:spacing w:line="240" w:lineRule="auto"/>
        <w:ind w:firstLineChars="200" w:firstLine="480"/>
        <w:rPr>
          <w:rFonts w:cs="Times New Roman"/>
          <w:szCs w:val="24"/>
        </w:rPr>
      </w:pPr>
      <w:r>
        <w:rPr>
          <w:rFonts w:cs="Times New Roman"/>
          <w:szCs w:val="24"/>
        </w:rPr>
        <w:lastRenderedPageBreak/>
        <w:t xml:space="preserve">5.6.3 </w:t>
      </w:r>
      <w:r>
        <w:rPr>
          <w:rFonts w:cs="Times New Roman" w:hint="eastAsia"/>
          <w:szCs w:val="24"/>
        </w:rPr>
        <w:t>为增加的内容。</w:t>
      </w:r>
    </w:p>
    <w:p w14:paraId="2EE28E04"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5.6.4 </w:t>
      </w:r>
      <w:r>
        <w:rPr>
          <w:rFonts w:cs="Times New Roman" w:hint="eastAsia"/>
          <w:szCs w:val="24"/>
        </w:rPr>
        <w:t>为增加的内容。</w:t>
      </w:r>
    </w:p>
    <w:p w14:paraId="446EFD74" w14:textId="77777777" w:rsidR="00D4394E" w:rsidRDefault="00D4394E">
      <w:pPr>
        <w:adjustRightInd w:val="0"/>
        <w:snapToGrid w:val="0"/>
        <w:spacing w:line="240" w:lineRule="auto"/>
        <w:ind w:firstLineChars="200" w:firstLine="480"/>
        <w:rPr>
          <w:rFonts w:cs="Times New Roman"/>
          <w:szCs w:val="24"/>
        </w:rPr>
      </w:pPr>
    </w:p>
    <w:p w14:paraId="70FE2859"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5.7 </w:t>
      </w:r>
      <w:r>
        <w:rPr>
          <w:rFonts w:ascii="楷体" w:eastAsia="楷体" w:hAnsi="楷体" w:cs="楷体" w:hint="eastAsia"/>
          <w:b/>
          <w:bCs/>
          <w:szCs w:val="24"/>
        </w:rPr>
        <w:t>其他要求</w:t>
      </w:r>
      <w:r>
        <w:rPr>
          <w:rFonts w:cs="Times New Roman"/>
          <w:szCs w:val="24"/>
        </w:rPr>
        <w:t xml:space="preserve"> </w:t>
      </w:r>
    </w:p>
    <w:p w14:paraId="615EDD09"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5.7 </w:t>
      </w:r>
      <w:r>
        <w:rPr>
          <w:rFonts w:cs="Times New Roman" w:hint="eastAsia"/>
          <w:szCs w:val="24"/>
        </w:rPr>
        <w:t>为增加的内容</w:t>
      </w:r>
    </w:p>
    <w:p w14:paraId="0F52821B" w14:textId="77777777" w:rsidR="00D4394E" w:rsidRDefault="00D4394E">
      <w:pPr>
        <w:adjustRightInd w:val="0"/>
        <w:snapToGrid w:val="0"/>
        <w:spacing w:line="240" w:lineRule="auto"/>
        <w:ind w:firstLineChars="200" w:firstLine="480"/>
        <w:rPr>
          <w:rFonts w:cs="Times New Roman"/>
          <w:szCs w:val="24"/>
        </w:rPr>
      </w:pPr>
    </w:p>
    <w:p w14:paraId="6B56057F"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第</w:t>
      </w:r>
      <w:r>
        <w:rPr>
          <w:rFonts w:cs="Times New Roman"/>
          <w:b/>
          <w:bCs/>
          <w:szCs w:val="24"/>
        </w:rPr>
        <w:t>6</w:t>
      </w:r>
      <w:r>
        <w:rPr>
          <w:rFonts w:cs="Times New Roman" w:hint="eastAsia"/>
          <w:b/>
          <w:bCs/>
          <w:szCs w:val="24"/>
        </w:rPr>
        <w:t>章</w:t>
      </w:r>
      <w:r>
        <w:rPr>
          <w:rFonts w:cs="Times New Roman"/>
          <w:b/>
          <w:bCs/>
          <w:szCs w:val="24"/>
        </w:rPr>
        <w:t xml:space="preserve"> </w:t>
      </w:r>
      <w:r>
        <w:rPr>
          <w:rFonts w:cs="Times New Roman" w:hint="eastAsia"/>
          <w:b/>
          <w:bCs/>
          <w:szCs w:val="24"/>
        </w:rPr>
        <w:t>从业人员卫生</w:t>
      </w:r>
    </w:p>
    <w:p w14:paraId="5E1DC21C" w14:textId="77777777" w:rsidR="00D4394E" w:rsidRDefault="00000000">
      <w:pPr>
        <w:adjustRightInd w:val="0"/>
        <w:snapToGrid w:val="0"/>
        <w:spacing w:line="240" w:lineRule="auto"/>
        <w:ind w:firstLineChars="200" w:firstLine="482"/>
      </w:pPr>
      <w:r>
        <w:rPr>
          <w:rFonts w:ascii="楷体" w:eastAsia="楷体" w:hAnsi="楷体" w:cs="楷体"/>
          <w:b/>
          <w:bCs/>
          <w:szCs w:val="24"/>
        </w:rPr>
        <w:t xml:space="preserve">6.1 </w:t>
      </w:r>
      <w:r>
        <w:rPr>
          <w:rFonts w:ascii="楷体" w:eastAsia="楷体" w:hAnsi="楷体" w:cs="楷体" w:hint="eastAsia"/>
          <w:b/>
          <w:bCs/>
          <w:szCs w:val="24"/>
        </w:rPr>
        <w:t>从业人员健康管理</w:t>
      </w:r>
    </w:p>
    <w:p w14:paraId="36AC987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166112F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将原标准中“</w:t>
      </w:r>
      <w:r>
        <w:rPr>
          <w:rFonts w:cs="Times New Roman" w:hint="eastAsia"/>
          <w:szCs w:val="24"/>
        </w:rPr>
        <w:t>6.1</w:t>
      </w:r>
      <w:r>
        <w:rPr>
          <w:rFonts w:cs="Times New Roman"/>
          <w:szCs w:val="24"/>
        </w:rPr>
        <w:t xml:space="preserve"> </w:t>
      </w:r>
      <w:r>
        <w:rPr>
          <w:rFonts w:cs="Times New Roman" w:hint="eastAsia"/>
          <w:szCs w:val="24"/>
        </w:rPr>
        <w:t>从业人员健康管理”</w:t>
      </w:r>
      <w:r>
        <w:rPr>
          <w:rFonts w:cs="Times New Roman" w:hint="eastAsia"/>
          <w:szCs w:val="24"/>
        </w:rPr>
        <w:t>1</w:t>
      </w:r>
      <w:r>
        <w:rPr>
          <w:rFonts w:cs="Times New Roman" w:hint="eastAsia"/>
          <w:szCs w:val="24"/>
        </w:rPr>
        <w:t>条条款拆分为</w:t>
      </w:r>
      <w:r>
        <w:rPr>
          <w:rFonts w:cs="Times New Roman" w:hint="eastAsia"/>
          <w:szCs w:val="24"/>
        </w:rPr>
        <w:t>2</w:t>
      </w:r>
      <w:r>
        <w:rPr>
          <w:rFonts w:cs="Times New Roman" w:hint="eastAsia"/>
          <w:szCs w:val="24"/>
        </w:rPr>
        <w:t>条，内容进行微调。</w:t>
      </w:r>
    </w:p>
    <w:p w14:paraId="2520BD56" w14:textId="77777777" w:rsidR="00D4394E" w:rsidRDefault="00000000">
      <w:pPr>
        <w:adjustRightInd w:val="0"/>
        <w:snapToGrid w:val="0"/>
        <w:spacing w:line="240" w:lineRule="auto"/>
        <w:ind w:firstLineChars="200" w:firstLine="480"/>
      </w:pPr>
      <w:r>
        <w:t>6.1.1</w:t>
      </w:r>
      <w:r>
        <w:rPr>
          <w:rFonts w:hint="eastAsia"/>
        </w:rPr>
        <w:t xml:space="preserve"> </w:t>
      </w:r>
      <w:r>
        <w:rPr>
          <w:rFonts w:hint="eastAsia"/>
        </w:rPr>
        <w:t>公共场所经营者应每年组织从业人员进行健康检查，直接为顾客服务的从业人员取得健康合格证明后方可上岗。</w:t>
      </w:r>
    </w:p>
    <w:p w14:paraId="740C438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修改方法及理由：在原标准“</w:t>
      </w:r>
      <w:r>
        <w:rPr>
          <w:rFonts w:cs="Times New Roman" w:hint="eastAsia"/>
          <w:szCs w:val="24"/>
        </w:rPr>
        <w:t>6.1</w:t>
      </w:r>
      <w:r>
        <w:rPr>
          <w:rFonts w:cs="Times New Roman"/>
          <w:szCs w:val="24"/>
        </w:rPr>
        <w:t xml:space="preserve"> </w:t>
      </w:r>
      <w:r>
        <w:rPr>
          <w:rFonts w:cs="Times New Roman" w:hint="eastAsia"/>
          <w:szCs w:val="24"/>
        </w:rPr>
        <w:t>公共场所应每年组织从业人员进行健康检查，从业人员取得健康合格证明后方可上岗”基础上，明确公共场所经营者的从业人员健康管理责任，细化对直接为顾客服务的从业人员的健康要求。</w:t>
      </w:r>
    </w:p>
    <w:p w14:paraId="1587E0EC"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6.1.2</w:t>
      </w:r>
      <w:r>
        <w:rPr>
          <w:rFonts w:cs="Times New Roman" w:hint="eastAsia"/>
          <w:szCs w:val="24"/>
        </w:rPr>
        <w:t xml:space="preserve"> </w:t>
      </w:r>
      <w:r>
        <w:rPr>
          <w:rFonts w:cs="Times New Roman" w:hint="eastAsia"/>
          <w:szCs w:val="24"/>
        </w:rPr>
        <w:t>为原标准</w:t>
      </w:r>
      <w:r>
        <w:rPr>
          <w:rFonts w:cs="Times New Roman"/>
          <w:szCs w:val="24"/>
        </w:rPr>
        <w:t>6.1</w:t>
      </w:r>
      <w:r>
        <w:rPr>
          <w:rFonts w:cs="Times New Roman" w:hint="eastAsia"/>
          <w:szCs w:val="24"/>
        </w:rPr>
        <w:t>的部分内容</w:t>
      </w:r>
    </w:p>
    <w:p w14:paraId="18CC84D8" w14:textId="77777777" w:rsidR="00D4394E" w:rsidRDefault="00D4394E">
      <w:pPr>
        <w:adjustRightInd w:val="0"/>
        <w:snapToGrid w:val="0"/>
        <w:spacing w:line="240" w:lineRule="auto"/>
        <w:ind w:firstLineChars="200" w:firstLine="480"/>
        <w:rPr>
          <w:rFonts w:cs="Times New Roman"/>
          <w:szCs w:val="24"/>
        </w:rPr>
      </w:pPr>
    </w:p>
    <w:p w14:paraId="79111467" w14:textId="77777777" w:rsidR="00D4394E" w:rsidRDefault="00000000">
      <w:pPr>
        <w:adjustRightInd w:val="0"/>
        <w:snapToGrid w:val="0"/>
        <w:spacing w:line="240" w:lineRule="auto"/>
        <w:ind w:firstLineChars="200" w:firstLine="482"/>
      </w:pPr>
      <w:r>
        <w:rPr>
          <w:rFonts w:ascii="楷体" w:eastAsia="楷体" w:hAnsi="楷体" w:cs="楷体"/>
          <w:b/>
          <w:bCs/>
          <w:szCs w:val="24"/>
        </w:rPr>
        <w:t xml:space="preserve">6.2 </w:t>
      </w:r>
      <w:r>
        <w:rPr>
          <w:rFonts w:ascii="楷体" w:eastAsia="楷体" w:hAnsi="楷体" w:cs="楷体" w:hint="eastAsia"/>
          <w:b/>
          <w:bCs/>
          <w:szCs w:val="24"/>
        </w:rPr>
        <w:t>从业人员培训</w:t>
      </w:r>
    </w:p>
    <w:p w14:paraId="1F48ADA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整节修改要点：</w:t>
      </w:r>
    </w:p>
    <w:p w14:paraId="4239B6D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将原标准中“</w:t>
      </w:r>
      <w:r>
        <w:rPr>
          <w:rFonts w:cs="Times New Roman" w:hint="eastAsia"/>
          <w:szCs w:val="24"/>
        </w:rPr>
        <w:t>5.3.2</w:t>
      </w:r>
      <w:r>
        <w:rPr>
          <w:rFonts w:cs="Times New Roman"/>
          <w:szCs w:val="24"/>
        </w:rPr>
        <w:t xml:space="preserve"> </w:t>
      </w:r>
      <w:r>
        <w:rPr>
          <w:rFonts w:cs="Times New Roman" w:hint="eastAsia"/>
          <w:szCs w:val="24"/>
        </w:rPr>
        <w:t>公共场所应组织从业人员学习卫生操作规程，保证从业人员掌握本岗位的卫生操作要求，并在工作中严格执行。”“</w:t>
      </w:r>
      <w:r>
        <w:rPr>
          <w:rFonts w:cs="Times New Roman" w:hint="eastAsia"/>
          <w:szCs w:val="24"/>
        </w:rPr>
        <w:t>6.2.1</w:t>
      </w:r>
      <w:r>
        <w:rPr>
          <w:rFonts w:cs="Times New Roman"/>
          <w:szCs w:val="24"/>
        </w:rPr>
        <w:t xml:space="preserve"> </w:t>
      </w:r>
      <w:r>
        <w:rPr>
          <w:rFonts w:cs="Times New Roman" w:hint="eastAsia"/>
          <w:szCs w:val="24"/>
        </w:rPr>
        <w:t>公共场所应组织从业人员参加公共场所卫生法律法规和卫生知识培训，经考核合格后方可上岗。应有相应的培训、考核资料和记录”“</w:t>
      </w:r>
      <w:r>
        <w:rPr>
          <w:rFonts w:cs="Times New Roman" w:hint="eastAsia"/>
          <w:szCs w:val="24"/>
        </w:rPr>
        <w:t>6.2.2</w:t>
      </w:r>
      <w:r>
        <w:rPr>
          <w:rFonts w:cs="Times New Roman"/>
          <w:szCs w:val="24"/>
        </w:rPr>
        <w:t xml:space="preserve"> </w:t>
      </w:r>
      <w:r>
        <w:rPr>
          <w:rFonts w:cs="Times New Roman" w:hint="eastAsia"/>
          <w:szCs w:val="24"/>
        </w:rPr>
        <w:t>在岗从业人员宜每</w:t>
      </w:r>
      <w:r>
        <w:rPr>
          <w:rFonts w:cs="Times New Roman" w:hint="eastAsia"/>
          <w:szCs w:val="24"/>
        </w:rPr>
        <w:t>2</w:t>
      </w:r>
      <w:r>
        <w:rPr>
          <w:rFonts w:cs="Times New Roman" w:hint="eastAsia"/>
          <w:szCs w:val="24"/>
        </w:rPr>
        <w:t>年复训一次。”整理合并为“</w:t>
      </w:r>
      <w:r>
        <w:rPr>
          <w:rFonts w:cs="Times New Roman"/>
          <w:szCs w:val="24"/>
        </w:rPr>
        <w:t xml:space="preserve">6.2 </w:t>
      </w:r>
      <w:r>
        <w:rPr>
          <w:rFonts w:hint="eastAsia"/>
        </w:rPr>
        <w:t>公共场所经营者应组织从业人员上岗前及在岗每</w:t>
      </w:r>
      <w:r>
        <w:rPr>
          <w:rFonts w:hint="eastAsia"/>
        </w:rPr>
        <w:t>2</w:t>
      </w:r>
      <w:r>
        <w:rPr>
          <w:rFonts w:hint="eastAsia"/>
        </w:rPr>
        <w:t>年参加公共场所卫生法律法规、卫生知识和卫生操作规程培训，经考核合格后方可上岗。应有相应的培训、考核资料和记录。</w:t>
      </w:r>
      <w:r>
        <w:rPr>
          <w:rFonts w:cs="Times New Roman" w:hint="eastAsia"/>
          <w:szCs w:val="24"/>
        </w:rPr>
        <w:t>”</w:t>
      </w:r>
    </w:p>
    <w:p w14:paraId="3B28C055" w14:textId="77777777" w:rsidR="00D4394E" w:rsidRDefault="00D4394E">
      <w:pPr>
        <w:adjustRightInd w:val="0"/>
        <w:snapToGrid w:val="0"/>
        <w:spacing w:line="240" w:lineRule="auto"/>
        <w:ind w:firstLineChars="200" w:firstLine="480"/>
        <w:rPr>
          <w:rFonts w:cs="Times New Roman"/>
          <w:szCs w:val="24"/>
        </w:rPr>
      </w:pPr>
    </w:p>
    <w:p w14:paraId="25674F60" w14:textId="77777777" w:rsidR="00D4394E" w:rsidRDefault="00000000">
      <w:pPr>
        <w:adjustRightInd w:val="0"/>
        <w:snapToGrid w:val="0"/>
        <w:spacing w:line="240" w:lineRule="auto"/>
        <w:ind w:firstLineChars="200" w:firstLine="482"/>
        <w:rPr>
          <w:rFonts w:cs="Times New Roman"/>
          <w:szCs w:val="24"/>
        </w:rPr>
      </w:pPr>
      <w:r>
        <w:rPr>
          <w:rFonts w:ascii="楷体" w:eastAsia="楷体" w:hAnsi="楷体" w:cs="楷体"/>
          <w:b/>
          <w:bCs/>
          <w:szCs w:val="24"/>
        </w:rPr>
        <w:t xml:space="preserve">6.3 </w:t>
      </w:r>
      <w:r>
        <w:rPr>
          <w:rFonts w:ascii="楷体" w:eastAsia="楷体" w:hAnsi="楷体" w:cs="楷体" w:hint="eastAsia"/>
          <w:b/>
          <w:bCs/>
          <w:szCs w:val="24"/>
        </w:rPr>
        <w:t>从业人员个人卫生</w:t>
      </w:r>
    </w:p>
    <w:p w14:paraId="075CEF31"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6.3.1 </w:t>
      </w:r>
      <w:r>
        <w:rPr>
          <w:rFonts w:cs="Times New Roman" w:hint="eastAsia"/>
          <w:szCs w:val="24"/>
        </w:rPr>
        <w:t>养成良好卫生习惯，做到勤洗手、勤换衣、勤理发、勤洗澡，保持良好的个人卫生及手卫生。</w:t>
      </w:r>
    </w:p>
    <w:p w14:paraId="1350F21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6.3.2 </w:t>
      </w:r>
      <w:r>
        <w:rPr>
          <w:rFonts w:cs="Times New Roman" w:hint="eastAsia"/>
          <w:szCs w:val="24"/>
        </w:rPr>
        <w:t>应着清洁工作服上岗。</w:t>
      </w:r>
    </w:p>
    <w:p w14:paraId="2362F95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修改依据：</w:t>
      </w:r>
    </w:p>
    <w:p w14:paraId="2703B0C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将原标准中“</w:t>
      </w:r>
      <w:r>
        <w:rPr>
          <w:rFonts w:cs="Times New Roman" w:hint="eastAsia"/>
          <w:szCs w:val="24"/>
        </w:rPr>
        <w:t>6.3.1</w:t>
      </w:r>
      <w:r>
        <w:rPr>
          <w:rFonts w:cs="Times New Roman"/>
          <w:szCs w:val="24"/>
        </w:rPr>
        <w:t xml:space="preserve"> </w:t>
      </w:r>
      <w:r>
        <w:rPr>
          <w:rFonts w:cs="Times New Roman" w:hint="eastAsia"/>
          <w:szCs w:val="24"/>
        </w:rPr>
        <w:t>应保持良好的个人卫生”和“</w:t>
      </w:r>
      <w:r>
        <w:rPr>
          <w:rFonts w:cs="Times New Roman" w:hint="eastAsia"/>
          <w:szCs w:val="24"/>
        </w:rPr>
        <w:t>6.3.4</w:t>
      </w:r>
      <w:r>
        <w:rPr>
          <w:rFonts w:cs="Times New Roman"/>
          <w:szCs w:val="24"/>
        </w:rPr>
        <w:t xml:space="preserve"> </w:t>
      </w:r>
      <w:r>
        <w:rPr>
          <w:rFonts w:cs="Times New Roman" w:hint="eastAsia"/>
          <w:szCs w:val="24"/>
        </w:rPr>
        <w:t>养成良好卫生习惯，做到勤洗手、勤换衣服、勤理发、勤洗澡”合并，同时为强调从业人员手卫生的重要性，将本标准</w:t>
      </w:r>
      <w:r>
        <w:rPr>
          <w:rFonts w:cs="Times New Roman"/>
          <w:szCs w:val="24"/>
        </w:rPr>
        <w:t>6.3.1</w:t>
      </w:r>
      <w:r>
        <w:rPr>
          <w:rFonts w:cs="Times New Roman" w:hint="eastAsia"/>
          <w:szCs w:val="24"/>
        </w:rPr>
        <w:t>修订为“养成良好卫生习惯，做到勤洗手、勤换衣服、勤理发、勤洗澡，保持良好的个人卫生及手卫生”和</w:t>
      </w:r>
      <w:r>
        <w:rPr>
          <w:rFonts w:cs="Times New Roman"/>
          <w:szCs w:val="24"/>
        </w:rPr>
        <w:t>6.3.2</w:t>
      </w:r>
      <w:r>
        <w:rPr>
          <w:rFonts w:cs="Times New Roman" w:hint="eastAsia"/>
          <w:szCs w:val="24"/>
        </w:rPr>
        <w:t>“应着清洁工作服上岗”。</w:t>
      </w:r>
    </w:p>
    <w:p w14:paraId="53A0C084" w14:textId="77777777" w:rsidR="00D4394E" w:rsidRDefault="00D4394E">
      <w:pPr>
        <w:adjustRightInd w:val="0"/>
        <w:snapToGrid w:val="0"/>
        <w:spacing w:line="240" w:lineRule="auto"/>
        <w:ind w:firstLineChars="200" w:firstLine="480"/>
        <w:rPr>
          <w:rFonts w:cs="Times New Roman"/>
          <w:szCs w:val="24"/>
        </w:rPr>
      </w:pPr>
    </w:p>
    <w:p w14:paraId="59067114"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6.3.3 </w:t>
      </w:r>
      <w:r>
        <w:rPr>
          <w:rFonts w:cs="Times New Roman" w:hint="eastAsia"/>
          <w:szCs w:val="24"/>
        </w:rPr>
        <w:t>为原标准</w:t>
      </w:r>
      <w:r>
        <w:rPr>
          <w:rFonts w:cs="Times New Roman"/>
          <w:szCs w:val="24"/>
        </w:rPr>
        <w:t>6.3.3</w:t>
      </w:r>
      <w:r>
        <w:rPr>
          <w:rFonts w:cs="Times New Roman" w:hint="eastAsia"/>
          <w:szCs w:val="24"/>
        </w:rPr>
        <w:t>的内容</w:t>
      </w:r>
    </w:p>
    <w:p w14:paraId="672CE009" w14:textId="77777777" w:rsidR="00D4394E" w:rsidRDefault="00D4394E">
      <w:pPr>
        <w:adjustRightInd w:val="0"/>
        <w:snapToGrid w:val="0"/>
        <w:spacing w:line="240" w:lineRule="auto"/>
        <w:ind w:firstLineChars="200" w:firstLine="480"/>
        <w:rPr>
          <w:rFonts w:cs="Times New Roman"/>
          <w:szCs w:val="24"/>
        </w:rPr>
      </w:pPr>
    </w:p>
    <w:p w14:paraId="3F9B95F5"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 xml:space="preserve">6.3.4 </w:t>
      </w:r>
      <w:r>
        <w:rPr>
          <w:rFonts w:cs="Times New Roman" w:hint="eastAsia"/>
          <w:szCs w:val="24"/>
        </w:rPr>
        <w:t>理发店、美容店和足浴从业人员应按照附录</w:t>
      </w:r>
      <w:r>
        <w:rPr>
          <w:rFonts w:cs="Times New Roman" w:hint="eastAsia"/>
          <w:szCs w:val="24"/>
        </w:rPr>
        <w:t>B5</w:t>
      </w:r>
      <w:r>
        <w:rPr>
          <w:rFonts w:cs="Times New Roman" w:hint="eastAsia"/>
          <w:szCs w:val="24"/>
        </w:rPr>
        <w:t>的要求进行手卫生。</w:t>
      </w:r>
    </w:p>
    <w:p w14:paraId="4ED4A5E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修改依据：</w:t>
      </w:r>
    </w:p>
    <w:p w14:paraId="4EEE71B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在原标准</w:t>
      </w:r>
      <w:r>
        <w:rPr>
          <w:rFonts w:cs="Times New Roman"/>
          <w:szCs w:val="24"/>
        </w:rPr>
        <w:t>6.3.4</w:t>
      </w:r>
      <w:r>
        <w:rPr>
          <w:rFonts w:cs="Times New Roman" w:hint="eastAsia"/>
          <w:szCs w:val="24"/>
        </w:rPr>
        <w:t>的基础上，依据本次增加的手卫生要求进行修改。</w:t>
      </w:r>
    </w:p>
    <w:p w14:paraId="2C8CE2DB" w14:textId="77777777" w:rsidR="00D4394E" w:rsidRDefault="00D4394E">
      <w:pPr>
        <w:adjustRightInd w:val="0"/>
        <w:snapToGrid w:val="0"/>
        <w:spacing w:line="240" w:lineRule="auto"/>
        <w:ind w:firstLineChars="200" w:firstLine="480"/>
        <w:rPr>
          <w:rFonts w:cs="Times New Roman"/>
          <w:szCs w:val="24"/>
        </w:rPr>
      </w:pPr>
    </w:p>
    <w:p w14:paraId="33E7A495" w14:textId="77777777" w:rsidR="00D4394E" w:rsidRDefault="00000000">
      <w:pPr>
        <w:adjustRightInd w:val="0"/>
        <w:snapToGrid w:val="0"/>
        <w:spacing w:line="240" w:lineRule="auto"/>
        <w:jc w:val="left"/>
        <w:rPr>
          <w:rFonts w:cs="Times New Roman"/>
          <w:b/>
          <w:bCs/>
          <w:szCs w:val="24"/>
        </w:rPr>
      </w:pPr>
      <w:r>
        <w:rPr>
          <w:rFonts w:cs="Times New Roman" w:hint="eastAsia"/>
          <w:b/>
          <w:bCs/>
          <w:szCs w:val="24"/>
        </w:rPr>
        <w:t>附录</w:t>
      </w:r>
      <w:r>
        <w:rPr>
          <w:rFonts w:cs="Times New Roman"/>
          <w:b/>
          <w:bCs/>
          <w:szCs w:val="24"/>
        </w:rPr>
        <w:t>A</w:t>
      </w:r>
      <w:r>
        <w:rPr>
          <w:rFonts w:cs="Times New Roman" w:hint="eastAsia"/>
          <w:b/>
          <w:bCs/>
          <w:szCs w:val="24"/>
        </w:rPr>
        <w:t>、附录</w:t>
      </w:r>
      <w:r>
        <w:rPr>
          <w:rFonts w:cs="Times New Roman" w:hint="eastAsia"/>
          <w:b/>
          <w:bCs/>
          <w:szCs w:val="24"/>
        </w:rPr>
        <w:t>B</w:t>
      </w:r>
    </w:p>
    <w:p w14:paraId="58A1A45F" w14:textId="77777777" w:rsidR="00D4394E" w:rsidRDefault="00000000">
      <w:pPr>
        <w:adjustRightInd w:val="0"/>
        <w:snapToGrid w:val="0"/>
        <w:spacing w:line="240" w:lineRule="auto"/>
        <w:ind w:firstLineChars="200" w:firstLine="480"/>
      </w:pPr>
      <w:r>
        <w:rPr>
          <w:rFonts w:hint="eastAsia"/>
        </w:rPr>
        <w:lastRenderedPageBreak/>
        <w:t>修改了附录</w:t>
      </w:r>
      <w:r>
        <w:rPr>
          <w:rFonts w:hint="eastAsia"/>
        </w:rPr>
        <w:t>A</w:t>
      </w:r>
      <w:r>
        <w:t xml:space="preserve"> </w:t>
      </w:r>
      <w:r>
        <w:rPr>
          <w:rFonts w:hint="eastAsia"/>
        </w:rPr>
        <w:t>常见公共用品用具配备基本要求、附录</w:t>
      </w:r>
      <w:r>
        <w:rPr>
          <w:rFonts w:hint="eastAsia"/>
        </w:rPr>
        <w:t>B</w:t>
      </w:r>
      <w:r>
        <w:t xml:space="preserve"> </w:t>
      </w:r>
      <w:r>
        <w:rPr>
          <w:rFonts w:hint="eastAsia"/>
        </w:rPr>
        <w:t>常见公共用品换洗消毒管理与手卫生基本要求</w:t>
      </w:r>
    </w:p>
    <w:p w14:paraId="4C2BAB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根据卫生监督实际工作情况，监督部门在发放卫生许可证时，会按照附录</w:t>
      </w:r>
      <w:r>
        <w:rPr>
          <w:rFonts w:cs="Times New Roman" w:hint="eastAsia"/>
          <w:szCs w:val="24"/>
        </w:rPr>
        <w:t>A</w:t>
      </w:r>
      <w:r>
        <w:rPr>
          <w:rFonts w:cs="Times New Roman" w:hint="eastAsia"/>
          <w:szCs w:val="24"/>
        </w:rPr>
        <w:t>的数量要求检验公共用品用具配备情况，按照附录</w:t>
      </w:r>
      <w:r>
        <w:rPr>
          <w:rFonts w:cs="Times New Roman" w:hint="eastAsia"/>
          <w:szCs w:val="24"/>
        </w:rPr>
        <w:t>B</w:t>
      </w:r>
      <w:r>
        <w:rPr>
          <w:rFonts w:cs="Times New Roman" w:hint="eastAsia"/>
          <w:szCs w:val="24"/>
        </w:rPr>
        <w:t>检查公共用品换洗消毒情况。强制性标准中不应出现推荐性条款，因此将附录</w:t>
      </w:r>
      <w:r>
        <w:rPr>
          <w:rFonts w:cs="Times New Roman" w:hint="eastAsia"/>
          <w:szCs w:val="24"/>
        </w:rPr>
        <w:t>A</w:t>
      </w:r>
      <w:r>
        <w:rPr>
          <w:rFonts w:cs="Times New Roman" w:hint="eastAsia"/>
          <w:szCs w:val="24"/>
        </w:rPr>
        <w:t>和附录</w:t>
      </w:r>
      <w:r>
        <w:rPr>
          <w:rFonts w:cs="Times New Roman" w:hint="eastAsia"/>
          <w:szCs w:val="24"/>
        </w:rPr>
        <w:t>B</w:t>
      </w:r>
      <w:r>
        <w:rPr>
          <w:rFonts w:cs="Times New Roman" w:hint="eastAsia"/>
          <w:szCs w:val="24"/>
        </w:rPr>
        <w:t>推荐性条款修改为强制性条款，共</w:t>
      </w:r>
      <w:r>
        <w:rPr>
          <w:rFonts w:cs="Times New Roman"/>
          <w:szCs w:val="24"/>
        </w:rPr>
        <w:t>17</w:t>
      </w:r>
      <w:r>
        <w:rPr>
          <w:rFonts w:cs="Times New Roman" w:hint="eastAsia"/>
          <w:szCs w:val="24"/>
        </w:rPr>
        <w:t>处。</w:t>
      </w:r>
    </w:p>
    <w:p w14:paraId="426C8DC8" w14:textId="77777777" w:rsidR="00D4394E" w:rsidRDefault="00D4394E">
      <w:pPr>
        <w:adjustRightInd w:val="0"/>
        <w:snapToGrid w:val="0"/>
        <w:spacing w:line="240" w:lineRule="auto"/>
        <w:ind w:firstLineChars="200" w:firstLine="480"/>
        <w:rPr>
          <w:rFonts w:cs="Times New Roman"/>
          <w:szCs w:val="24"/>
        </w:rPr>
      </w:pPr>
    </w:p>
    <w:p w14:paraId="5988055A" w14:textId="77777777" w:rsidR="00D4394E" w:rsidRDefault="00000000">
      <w:pPr>
        <w:adjustRightInd w:val="0"/>
        <w:snapToGrid w:val="0"/>
        <w:spacing w:line="240" w:lineRule="auto"/>
        <w:ind w:firstLine="480"/>
        <w:rPr>
          <w:rFonts w:cs="Times New Roman"/>
          <w:szCs w:val="24"/>
        </w:rPr>
      </w:pPr>
      <w:r>
        <w:rPr>
          <w:rFonts w:cs="Times New Roman"/>
          <w:szCs w:val="24"/>
        </w:rPr>
        <w:t>B.1.2</w:t>
      </w:r>
    </w:p>
    <w:p w14:paraId="5242236A" w14:textId="77777777" w:rsidR="00D4394E" w:rsidRDefault="00000000">
      <w:pPr>
        <w:adjustRightInd w:val="0"/>
        <w:snapToGrid w:val="0"/>
        <w:spacing w:line="240" w:lineRule="auto"/>
        <w:ind w:firstLine="480"/>
        <w:rPr>
          <w:rFonts w:cs="Times New Roman"/>
          <w:szCs w:val="24"/>
        </w:rPr>
      </w:pPr>
      <w:r>
        <w:rPr>
          <w:rFonts w:cs="Times New Roman" w:hint="eastAsia"/>
          <w:szCs w:val="24"/>
        </w:rPr>
        <w:t>将原标准附录</w:t>
      </w:r>
      <w:r>
        <w:rPr>
          <w:rFonts w:cs="Times New Roman"/>
          <w:szCs w:val="24"/>
        </w:rPr>
        <w:t xml:space="preserve">B.1.2 </w:t>
      </w:r>
      <w:r>
        <w:rPr>
          <w:rFonts w:cs="Times New Roman" w:hint="eastAsia"/>
          <w:szCs w:val="24"/>
        </w:rPr>
        <w:t>床罩、枕芯、床垫等用品应定期更换清洗，保持整洁。”修改为“其他与顾客皮肤直接接触的用品应定期更换清洗，保持整洁。”，列为</w:t>
      </w:r>
      <w:r>
        <w:rPr>
          <w:rFonts w:cs="Times New Roman" w:hint="eastAsia"/>
          <w:szCs w:val="24"/>
        </w:rPr>
        <w:t>B.1.3</w:t>
      </w:r>
      <w:r>
        <w:rPr>
          <w:rFonts w:cs="Times New Roman" w:hint="eastAsia"/>
          <w:szCs w:val="24"/>
        </w:rPr>
        <w:t>条。</w:t>
      </w:r>
    </w:p>
    <w:p w14:paraId="4E556B8E" w14:textId="77777777" w:rsidR="00D4394E" w:rsidRDefault="00000000">
      <w:pPr>
        <w:adjustRightInd w:val="0"/>
        <w:snapToGrid w:val="0"/>
        <w:spacing w:line="240" w:lineRule="auto"/>
        <w:ind w:firstLine="480"/>
        <w:rPr>
          <w:rFonts w:cs="Times New Roman"/>
          <w:szCs w:val="24"/>
        </w:rPr>
      </w:pPr>
      <w:r>
        <w:rPr>
          <w:rFonts w:cs="Times New Roman" w:hint="eastAsia"/>
          <w:szCs w:val="24"/>
        </w:rPr>
        <w:t>修改理由：床罩、枕芯、床垫暂未列入“公共用品用具”定义范围，管理部门在处理投诉时有消费者认为附录中罗列的所有用品类别都应按“一客一用一消毒”来要求及检测，为执法实践带来困扰，因此修改为其他与顾客皮肤直接接触的用品。</w:t>
      </w:r>
    </w:p>
    <w:p w14:paraId="3E0BFC74" w14:textId="77777777" w:rsidR="00D4394E" w:rsidRDefault="00D4394E">
      <w:pPr>
        <w:adjustRightInd w:val="0"/>
        <w:snapToGrid w:val="0"/>
        <w:spacing w:line="240" w:lineRule="auto"/>
        <w:ind w:firstLine="480"/>
        <w:rPr>
          <w:rFonts w:cs="Times New Roman"/>
          <w:szCs w:val="24"/>
        </w:rPr>
      </w:pPr>
    </w:p>
    <w:p w14:paraId="6CE0CE1F" w14:textId="77777777" w:rsidR="00D4394E" w:rsidRDefault="00000000">
      <w:pPr>
        <w:pStyle w:val="3"/>
        <w:adjustRightInd w:val="0"/>
        <w:snapToGrid w:val="0"/>
        <w:ind w:firstLine="482"/>
      </w:pPr>
      <w:bookmarkStart w:id="173" w:name="_Toc30494"/>
      <w:bookmarkStart w:id="174" w:name="_Toc20404"/>
      <w:bookmarkStart w:id="175" w:name="_Toc7879"/>
      <w:bookmarkStart w:id="176" w:name="_Toc8189"/>
      <w:bookmarkStart w:id="177" w:name="_Toc16333"/>
      <w:bookmarkStart w:id="178" w:name="_Toc24302"/>
      <w:bookmarkStart w:id="179" w:name="_Toc30203"/>
      <w:bookmarkStart w:id="180" w:name="_Toc28452"/>
      <w:bookmarkStart w:id="181" w:name="_Toc4502"/>
      <w:bookmarkStart w:id="182" w:name="_Toc28037"/>
      <w:r>
        <w:rPr>
          <w:rFonts w:hint="eastAsia"/>
        </w:rPr>
        <w:t>5</w:t>
      </w:r>
      <w:r>
        <w:t>.</w:t>
      </w:r>
      <w:r>
        <w:rPr>
          <w:rFonts w:hint="eastAsia"/>
        </w:rPr>
        <w:t>删除的内容</w:t>
      </w:r>
      <w:bookmarkEnd w:id="173"/>
      <w:bookmarkEnd w:id="174"/>
      <w:r>
        <w:rPr>
          <w:rFonts w:hint="eastAsia"/>
        </w:rPr>
        <w:t>（</w:t>
      </w:r>
      <w:r>
        <w:rPr>
          <w:rFonts w:hint="eastAsia"/>
        </w:rPr>
        <w:t>8</w:t>
      </w:r>
      <w:r>
        <w:rPr>
          <w:rFonts w:hint="eastAsia"/>
        </w:rPr>
        <w:t>条）</w:t>
      </w:r>
      <w:bookmarkEnd w:id="175"/>
      <w:bookmarkEnd w:id="176"/>
      <w:bookmarkEnd w:id="177"/>
      <w:bookmarkEnd w:id="178"/>
      <w:bookmarkEnd w:id="179"/>
      <w:bookmarkEnd w:id="180"/>
      <w:bookmarkEnd w:id="181"/>
      <w:bookmarkEnd w:id="182"/>
    </w:p>
    <w:p w14:paraId="07506F4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szCs w:val="24"/>
        </w:rPr>
        <w:t>1</w:t>
      </w:r>
      <w:r>
        <w:rPr>
          <w:rFonts w:cs="Times New Roman" w:hint="eastAsia"/>
          <w:szCs w:val="24"/>
        </w:rPr>
        <w:t>）删除了</w:t>
      </w:r>
      <w:r>
        <w:rPr>
          <w:rFonts w:hint="eastAsia"/>
        </w:rPr>
        <w:t>可行性低、</w:t>
      </w:r>
      <w:r>
        <w:rPr>
          <w:rFonts w:cs="Times New Roman" w:hint="eastAsia"/>
          <w:szCs w:val="24"/>
        </w:rPr>
        <w:t>不适应监管要求或者操作性不强的推荐性条款</w:t>
      </w:r>
      <w:r>
        <w:rPr>
          <w:rFonts w:cs="Times New Roman" w:hint="eastAsia"/>
          <w:szCs w:val="24"/>
        </w:rPr>
        <w:t>2</w:t>
      </w:r>
      <w:r>
        <w:rPr>
          <w:rFonts w:cs="Times New Roman" w:hint="eastAsia"/>
          <w:szCs w:val="24"/>
        </w:rPr>
        <w:t>条</w:t>
      </w:r>
    </w:p>
    <w:p w14:paraId="33C8CAF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删除原标准“</w:t>
      </w:r>
      <w:r>
        <w:rPr>
          <w:rFonts w:cs="Times New Roman" w:hint="eastAsia"/>
          <w:szCs w:val="24"/>
        </w:rPr>
        <w:t>4.6.1</w:t>
      </w:r>
      <w:r>
        <w:rPr>
          <w:rFonts w:cs="Times New Roman"/>
          <w:szCs w:val="24"/>
        </w:rPr>
        <w:t xml:space="preserve"> </w:t>
      </w:r>
      <w:r>
        <w:rPr>
          <w:rFonts w:cs="Times New Roman" w:hint="eastAsia"/>
          <w:szCs w:val="24"/>
        </w:rPr>
        <w:t>宜使用集中式供水单位供应的生活饮用水”“</w:t>
      </w:r>
      <w:r>
        <w:rPr>
          <w:rFonts w:cs="Times New Roman" w:hint="eastAsia"/>
          <w:szCs w:val="24"/>
        </w:rPr>
        <w:t>4.12.1</w:t>
      </w:r>
      <w:r>
        <w:rPr>
          <w:rFonts w:cs="Times New Roman"/>
          <w:szCs w:val="24"/>
        </w:rPr>
        <w:t xml:space="preserve"> </w:t>
      </w:r>
      <w:r>
        <w:rPr>
          <w:rFonts w:cs="Times New Roman" w:hint="eastAsia"/>
          <w:szCs w:val="24"/>
        </w:rPr>
        <w:t>住宿场所宜配备工作车，配备数量与场所经营规模相适应”。</w:t>
      </w:r>
    </w:p>
    <w:p w14:paraId="391FEC2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szCs w:val="24"/>
        </w:rPr>
        <w:t>2</w:t>
      </w:r>
      <w:r>
        <w:rPr>
          <w:rFonts w:cs="Times New Roman" w:hint="eastAsia"/>
          <w:szCs w:val="24"/>
        </w:rPr>
        <w:t>）删除了要求不具体或过程性描述的条款</w:t>
      </w:r>
      <w:r>
        <w:rPr>
          <w:rFonts w:cs="Times New Roman"/>
          <w:szCs w:val="24"/>
        </w:rPr>
        <w:t>2</w:t>
      </w:r>
      <w:r>
        <w:rPr>
          <w:rFonts w:cs="Times New Roman" w:hint="eastAsia"/>
          <w:szCs w:val="24"/>
        </w:rPr>
        <w:t>条</w:t>
      </w:r>
    </w:p>
    <w:p w14:paraId="18B28BE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删除原标准“</w:t>
      </w:r>
      <w:r>
        <w:rPr>
          <w:rFonts w:cs="Times New Roman"/>
          <w:szCs w:val="24"/>
        </w:rPr>
        <w:t xml:space="preserve">4.15.2 </w:t>
      </w:r>
      <w:r>
        <w:rPr>
          <w:rFonts w:cs="Times New Roman" w:hint="eastAsia"/>
          <w:szCs w:val="24"/>
        </w:rPr>
        <w:t>公共场所卫生清扫应采取湿式清扫或其他合适的清扫方式，避免扬尘。”“</w:t>
      </w:r>
      <w:r>
        <w:rPr>
          <w:rFonts w:cs="Times New Roman"/>
          <w:szCs w:val="24"/>
        </w:rPr>
        <w:t xml:space="preserve">4.15.3 </w:t>
      </w:r>
      <w:r>
        <w:rPr>
          <w:rFonts w:cs="Times New Roman" w:hint="eastAsia"/>
          <w:szCs w:val="24"/>
        </w:rPr>
        <w:t>公共场所内物品摆放应整齐有序，无乱堆乱放情形。”</w:t>
      </w:r>
    </w:p>
    <w:p w14:paraId="14ACDAB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szCs w:val="24"/>
        </w:rPr>
        <w:t>3</w:t>
      </w:r>
      <w:r>
        <w:rPr>
          <w:rFonts w:cs="Times New Roman" w:hint="eastAsia"/>
          <w:szCs w:val="24"/>
        </w:rPr>
        <w:t>）删除了与术语定义相同的条款</w:t>
      </w:r>
      <w:r>
        <w:rPr>
          <w:rFonts w:cs="Times New Roman" w:hint="eastAsia"/>
          <w:szCs w:val="24"/>
        </w:rPr>
        <w:t>1</w:t>
      </w:r>
      <w:r>
        <w:rPr>
          <w:rFonts w:cs="Times New Roman" w:hint="eastAsia"/>
          <w:szCs w:val="24"/>
        </w:rPr>
        <w:t>条</w:t>
      </w:r>
    </w:p>
    <w:p w14:paraId="464F0C6C" w14:textId="77777777" w:rsidR="00D4394E" w:rsidRDefault="00000000">
      <w:pPr>
        <w:adjustRightInd w:val="0"/>
        <w:snapToGrid w:val="0"/>
        <w:spacing w:line="240" w:lineRule="auto"/>
        <w:ind w:firstLine="480"/>
        <w:rPr>
          <w:rFonts w:cs="Times New Roman"/>
          <w:szCs w:val="24"/>
        </w:rPr>
      </w:pPr>
      <w:r>
        <w:rPr>
          <w:rFonts w:cs="Times New Roman" w:hint="eastAsia"/>
          <w:szCs w:val="24"/>
        </w:rPr>
        <w:t>因增加了公共卫生用品定义，删除</w:t>
      </w:r>
      <w:r>
        <w:rPr>
          <w:rFonts w:cs="Times New Roman" w:hint="eastAsia"/>
          <w:szCs w:val="24"/>
        </w:rPr>
        <w:t>4.1.1</w:t>
      </w:r>
      <w:r>
        <w:rPr>
          <w:rFonts w:cs="Times New Roman" w:hint="eastAsia"/>
          <w:szCs w:val="24"/>
        </w:rPr>
        <w:t>中“（包括：消毒产品、涉水产品、杀虫剂、灭鼠剂、避孕套和供顾客使用的洗发液、沐浴液、烫发剂、染发剂、美容护肤类化妆品等）”表述。</w:t>
      </w:r>
    </w:p>
    <w:p w14:paraId="619C6DB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szCs w:val="24"/>
        </w:rPr>
        <w:t>4</w:t>
      </w:r>
      <w:r>
        <w:rPr>
          <w:rFonts w:cs="Times New Roman" w:hint="eastAsia"/>
          <w:szCs w:val="24"/>
        </w:rPr>
        <w:t>）删除</w:t>
      </w:r>
      <w:r>
        <w:rPr>
          <w:rFonts w:cs="Times New Roman"/>
          <w:szCs w:val="24"/>
        </w:rPr>
        <w:t>/</w:t>
      </w:r>
      <w:r>
        <w:rPr>
          <w:rFonts w:cs="Times New Roman" w:hint="eastAsia"/>
          <w:szCs w:val="24"/>
        </w:rPr>
        <w:t>部分删除了与公共场所设计相关内容的条款</w:t>
      </w:r>
      <w:r>
        <w:rPr>
          <w:rFonts w:cs="Times New Roman"/>
          <w:szCs w:val="24"/>
        </w:rPr>
        <w:t>3</w:t>
      </w:r>
      <w:r>
        <w:rPr>
          <w:rFonts w:cs="Times New Roman" w:hint="eastAsia"/>
          <w:szCs w:val="24"/>
        </w:rPr>
        <w:t>条、</w:t>
      </w:r>
      <w:r>
        <w:rPr>
          <w:rFonts w:cs="Times New Roman"/>
          <w:szCs w:val="24"/>
        </w:rPr>
        <w:t>1</w:t>
      </w:r>
      <w:r>
        <w:rPr>
          <w:rFonts w:cs="Times New Roman" w:hint="eastAsia"/>
          <w:szCs w:val="24"/>
        </w:rPr>
        <w:t>处</w:t>
      </w:r>
    </w:p>
    <w:p w14:paraId="4928ECB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删除“</w:t>
      </w:r>
      <w:r>
        <w:rPr>
          <w:rFonts w:cs="Times New Roman" w:hint="eastAsia"/>
          <w:szCs w:val="24"/>
        </w:rPr>
        <w:t>4.4.4</w:t>
      </w:r>
      <w:r>
        <w:rPr>
          <w:rFonts w:cs="Times New Roman"/>
          <w:szCs w:val="24"/>
        </w:rPr>
        <w:t xml:space="preserve"> </w:t>
      </w:r>
      <w:r>
        <w:rPr>
          <w:rFonts w:cs="Times New Roman" w:hint="eastAsia"/>
          <w:szCs w:val="24"/>
        </w:rPr>
        <w:t>使用燃气热水器提供热水的场所，热水器、燃气瓶设置地点宜与使用热水的房间隔室安装”“</w:t>
      </w:r>
      <w:r>
        <w:rPr>
          <w:rFonts w:cs="Times New Roman" w:hint="eastAsia"/>
          <w:szCs w:val="24"/>
        </w:rPr>
        <w:t>4.4.5</w:t>
      </w:r>
      <w:r>
        <w:rPr>
          <w:rFonts w:cs="Times New Roman"/>
          <w:szCs w:val="24"/>
        </w:rPr>
        <w:t xml:space="preserve"> </w:t>
      </w:r>
      <w:r>
        <w:rPr>
          <w:rFonts w:cs="Times New Roman" w:hint="eastAsia"/>
          <w:szCs w:val="24"/>
        </w:rPr>
        <w:t>热水器应具有强排风功能，燃烧产生的气体应直接排到室外，保证场所空气质量符合</w:t>
      </w:r>
      <w:r>
        <w:rPr>
          <w:rFonts w:cs="Times New Roman" w:hint="eastAsia"/>
          <w:szCs w:val="24"/>
        </w:rPr>
        <w:t>GB</w:t>
      </w:r>
      <w:r>
        <w:rPr>
          <w:rFonts w:cs="Times New Roman"/>
          <w:szCs w:val="24"/>
        </w:rPr>
        <w:t xml:space="preserve"> </w:t>
      </w:r>
      <w:r>
        <w:rPr>
          <w:rFonts w:cs="Times New Roman" w:hint="eastAsia"/>
          <w:szCs w:val="24"/>
        </w:rPr>
        <w:t>37488</w:t>
      </w:r>
      <w:r>
        <w:rPr>
          <w:rFonts w:cs="Times New Roman" w:hint="eastAsia"/>
          <w:szCs w:val="24"/>
        </w:rPr>
        <w:t>要求”“</w:t>
      </w:r>
      <w:r>
        <w:rPr>
          <w:rFonts w:cs="Times New Roman" w:hint="eastAsia"/>
          <w:szCs w:val="24"/>
        </w:rPr>
        <w:t>4.7.4</w:t>
      </w:r>
      <w:r>
        <w:rPr>
          <w:rFonts w:cs="Times New Roman"/>
          <w:szCs w:val="24"/>
        </w:rPr>
        <w:t xml:space="preserve"> </w:t>
      </w:r>
      <w:r>
        <w:rPr>
          <w:rFonts w:cs="Times New Roman" w:hint="eastAsia"/>
          <w:szCs w:val="24"/>
        </w:rPr>
        <w:t>沐浴场所淋浴水、浴池水供应管道、设备、设施等系统的运行应避免产生死水区、滞水区，淋浴喷头、热水龙头应保持清洁”“</w:t>
      </w:r>
      <w:r>
        <w:rPr>
          <w:rFonts w:cs="Times New Roman"/>
          <w:szCs w:val="24"/>
        </w:rPr>
        <w:t>5.5.1</w:t>
      </w:r>
      <w:r>
        <w:rPr>
          <w:rFonts w:cs="Times New Roman" w:hint="eastAsia"/>
          <w:szCs w:val="24"/>
        </w:rPr>
        <w:t>公共场所应建立卫生管理档案，下列内容应归档管理之第</w:t>
      </w:r>
      <w:r>
        <w:rPr>
          <w:rFonts w:cs="Times New Roman"/>
          <w:szCs w:val="24"/>
        </w:rPr>
        <w:t>9</w:t>
      </w:r>
      <w:r>
        <w:rPr>
          <w:rFonts w:cs="Times New Roman" w:hint="eastAsia"/>
          <w:szCs w:val="24"/>
        </w:rPr>
        <w:t>点：选址、设计、竣工验收资料”。</w:t>
      </w:r>
    </w:p>
    <w:p w14:paraId="420D8138" w14:textId="77777777" w:rsidR="00D4394E" w:rsidRDefault="00000000">
      <w:pPr>
        <w:adjustRightInd w:val="0"/>
        <w:snapToGrid w:val="0"/>
        <w:spacing w:line="240" w:lineRule="auto"/>
        <w:ind w:firstLine="480"/>
        <w:rPr>
          <w:rFonts w:cs="Times New Roman"/>
          <w:szCs w:val="24"/>
        </w:rPr>
      </w:pPr>
      <w:bookmarkStart w:id="183" w:name="_Toc17129"/>
      <w:r>
        <w:rPr>
          <w:rFonts w:cs="Times New Roman" w:hint="eastAsia"/>
          <w:szCs w:val="24"/>
        </w:rPr>
        <w:t>（</w:t>
      </w:r>
      <w:r>
        <w:rPr>
          <w:rFonts w:cs="Times New Roman"/>
          <w:szCs w:val="24"/>
        </w:rPr>
        <w:t>5</w:t>
      </w:r>
      <w:r>
        <w:rPr>
          <w:rFonts w:cs="Times New Roman" w:hint="eastAsia"/>
          <w:szCs w:val="24"/>
        </w:rPr>
        <w:t>）部分删除了“其他公共场所可参照使用”</w:t>
      </w:r>
      <w:r>
        <w:rPr>
          <w:rFonts w:cs="Times New Roman" w:hint="eastAsia"/>
          <w:szCs w:val="24"/>
        </w:rPr>
        <w:t>1</w:t>
      </w:r>
      <w:r>
        <w:rPr>
          <w:rFonts w:cs="Times New Roman" w:hint="eastAsia"/>
          <w:szCs w:val="24"/>
        </w:rPr>
        <w:t>处</w:t>
      </w:r>
    </w:p>
    <w:p w14:paraId="1B23144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范围中删除了“其他公共场所可参照使用”，依据为强制性标准条文需强制执行。</w:t>
      </w:r>
    </w:p>
    <w:p w14:paraId="2BCE37A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szCs w:val="24"/>
        </w:rPr>
        <w:t>6</w:t>
      </w:r>
      <w:r>
        <w:rPr>
          <w:rFonts w:cs="Times New Roman" w:hint="eastAsia"/>
          <w:szCs w:val="24"/>
        </w:rPr>
        <w:t>）部分删除有争议或不宜作为强制性要求的条款</w:t>
      </w:r>
      <w:r>
        <w:rPr>
          <w:rFonts w:cs="Times New Roman"/>
          <w:szCs w:val="24"/>
        </w:rPr>
        <w:t>4</w:t>
      </w:r>
      <w:r>
        <w:rPr>
          <w:rFonts w:cs="Times New Roman" w:hint="eastAsia"/>
          <w:szCs w:val="24"/>
        </w:rPr>
        <w:t>处</w:t>
      </w:r>
    </w:p>
    <w:p w14:paraId="213989D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删除原标准“</w:t>
      </w:r>
      <w:r>
        <w:rPr>
          <w:rFonts w:cs="Times New Roman" w:hint="eastAsia"/>
          <w:szCs w:val="24"/>
        </w:rPr>
        <w:t>5.4.3......</w:t>
      </w:r>
      <w:r>
        <w:rPr>
          <w:rFonts w:cs="Times New Roman" w:hint="eastAsia"/>
          <w:szCs w:val="24"/>
        </w:rPr>
        <w:t>宜随身携带或在场所内集中保管</w:t>
      </w:r>
      <w:r>
        <w:rPr>
          <w:rFonts w:cs="Times New Roman" w:hint="eastAsia"/>
          <w:szCs w:val="24"/>
        </w:rPr>
        <w:t>......</w:t>
      </w:r>
      <w:r>
        <w:rPr>
          <w:rFonts w:cs="Times New Roman" w:hint="eastAsia"/>
          <w:szCs w:val="24"/>
        </w:rPr>
        <w:t>”，删除原标准“</w:t>
      </w:r>
      <w:r>
        <w:rPr>
          <w:rFonts w:cs="Times New Roman"/>
          <w:szCs w:val="24"/>
        </w:rPr>
        <w:t xml:space="preserve">6.3.2 </w:t>
      </w:r>
      <w:r>
        <w:rPr>
          <w:rFonts w:cs="Times New Roman" w:hint="eastAsia"/>
          <w:szCs w:val="24"/>
        </w:rPr>
        <w:t>宜备有</w:t>
      </w:r>
      <w:r>
        <w:rPr>
          <w:rFonts w:cs="Times New Roman"/>
          <w:szCs w:val="24"/>
        </w:rPr>
        <w:t>2</w:t>
      </w:r>
      <w:r>
        <w:rPr>
          <w:rFonts w:cs="Times New Roman" w:hint="eastAsia"/>
          <w:szCs w:val="24"/>
        </w:rPr>
        <w:t>套以上工作服”的具体要求，删除原标准附录</w:t>
      </w:r>
      <w:r>
        <w:rPr>
          <w:rFonts w:cs="Times New Roman"/>
          <w:szCs w:val="24"/>
        </w:rPr>
        <w:t xml:space="preserve">A.1.1 </w:t>
      </w:r>
      <w:r>
        <w:rPr>
          <w:rFonts w:cs="Times New Roman" w:hint="eastAsia"/>
          <w:szCs w:val="24"/>
        </w:rPr>
        <w:t>对于枕芯、床罩、床垫配置数量的要求，删除原标准附录</w:t>
      </w:r>
      <w:r>
        <w:rPr>
          <w:rFonts w:cs="Times New Roman"/>
          <w:szCs w:val="24"/>
        </w:rPr>
        <w:t>A.1.3</w:t>
      </w:r>
      <w:r>
        <w:rPr>
          <w:rFonts w:cs="Times New Roman" w:hint="eastAsia"/>
          <w:szCs w:val="24"/>
        </w:rPr>
        <w:t>对美发用围布数量的要求。</w:t>
      </w:r>
    </w:p>
    <w:p w14:paraId="3769A8DD" w14:textId="77777777" w:rsidR="00D4394E" w:rsidRDefault="00D4394E">
      <w:pPr>
        <w:adjustRightInd w:val="0"/>
        <w:snapToGrid w:val="0"/>
        <w:spacing w:line="240" w:lineRule="auto"/>
        <w:ind w:firstLineChars="200" w:firstLine="480"/>
        <w:rPr>
          <w:rFonts w:cs="Times New Roman"/>
          <w:szCs w:val="24"/>
        </w:rPr>
      </w:pPr>
    </w:p>
    <w:p w14:paraId="6B80031E" w14:textId="77777777" w:rsidR="00D4394E" w:rsidRDefault="00000000">
      <w:pPr>
        <w:pStyle w:val="2"/>
        <w:spacing w:before="156" w:after="156" w:line="240" w:lineRule="auto"/>
        <w:ind w:firstLine="482"/>
      </w:pPr>
      <w:bookmarkStart w:id="184" w:name="_Toc12008"/>
      <w:bookmarkStart w:id="185" w:name="_Toc7059"/>
      <w:bookmarkStart w:id="186" w:name="_Toc25667"/>
      <w:bookmarkStart w:id="187" w:name="_Toc93656997"/>
      <w:bookmarkStart w:id="188" w:name="_Toc23058"/>
      <w:bookmarkStart w:id="189" w:name="_Toc4034"/>
      <w:bookmarkStart w:id="190" w:name="_Toc16465"/>
      <w:bookmarkStart w:id="191" w:name="_Toc25511"/>
      <w:bookmarkStart w:id="192" w:name="_Toc67407053"/>
      <w:bookmarkStart w:id="193" w:name="_Toc24427"/>
      <w:bookmarkStart w:id="194" w:name="_Toc69553244"/>
      <w:bookmarkStart w:id="195" w:name="_Toc14596"/>
      <w:bookmarkStart w:id="196" w:name="_Toc17897"/>
      <w:bookmarkStart w:id="197" w:name="_Toc14191"/>
      <w:bookmarkStart w:id="198" w:name="_Toc30137"/>
      <w:bookmarkStart w:id="199" w:name="_Toc9145"/>
      <w:bookmarkStart w:id="200" w:name="_Toc42598938"/>
      <w:bookmarkEnd w:id="100"/>
      <w:bookmarkEnd w:id="101"/>
      <w:bookmarkEnd w:id="102"/>
      <w:bookmarkEnd w:id="183"/>
      <w:r>
        <w:rPr>
          <w:rFonts w:hint="eastAsia"/>
        </w:rPr>
        <w:lastRenderedPageBreak/>
        <w:t>（三）主要验证报告</w:t>
      </w:r>
      <w:bookmarkEnd w:id="184"/>
      <w:bookmarkEnd w:id="185"/>
      <w:bookmarkEnd w:id="186"/>
      <w:bookmarkEnd w:id="187"/>
      <w:bookmarkEnd w:id="188"/>
      <w:bookmarkEnd w:id="189"/>
      <w:bookmarkEnd w:id="190"/>
      <w:bookmarkEnd w:id="191"/>
      <w:bookmarkEnd w:id="192"/>
      <w:bookmarkEnd w:id="193"/>
      <w:bookmarkEnd w:id="194"/>
      <w:r>
        <w:rPr>
          <w:rFonts w:hint="eastAsia"/>
        </w:rPr>
        <w:t>（简版）</w:t>
      </w:r>
      <w:bookmarkEnd w:id="195"/>
      <w:bookmarkEnd w:id="196"/>
      <w:bookmarkEnd w:id="197"/>
      <w:bookmarkEnd w:id="198"/>
      <w:bookmarkEnd w:id="199"/>
    </w:p>
    <w:p w14:paraId="29049820" w14:textId="77777777" w:rsidR="00D4394E" w:rsidRDefault="00000000">
      <w:pPr>
        <w:pStyle w:val="3"/>
        <w:ind w:firstLine="482"/>
      </w:pPr>
      <w:bookmarkStart w:id="201" w:name="_Toc27309"/>
      <w:bookmarkStart w:id="202" w:name="_Toc23582"/>
      <w:bookmarkStart w:id="203" w:name="_Toc27084"/>
      <w:bookmarkStart w:id="204" w:name="_Toc14717"/>
      <w:bookmarkStart w:id="205" w:name="_Toc17417"/>
      <w:bookmarkStart w:id="206" w:name="_Toc6043"/>
      <w:bookmarkStart w:id="207" w:name="_Toc17882"/>
      <w:bookmarkStart w:id="208" w:name="_Toc6786"/>
      <w:bookmarkStart w:id="209" w:name="_Toc19162"/>
      <w:bookmarkStart w:id="210" w:name="_Toc1529"/>
      <w:bookmarkStart w:id="211" w:name="_Toc25371"/>
      <w:bookmarkStart w:id="212" w:name="_Toc8076"/>
      <w:bookmarkStart w:id="213" w:name="_Toc25457"/>
      <w:r>
        <w:rPr>
          <w:rFonts w:hint="eastAsia"/>
        </w:rPr>
        <w:t>1.</w:t>
      </w:r>
      <w:r>
        <w:rPr>
          <w:rFonts w:hint="eastAsia"/>
        </w:rPr>
        <w:t>《公共场所卫生管理规范》修订需求调查评估</w:t>
      </w:r>
      <w:bookmarkEnd w:id="201"/>
      <w:bookmarkEnd w:id="202"/>
      <w:bookmarkEnd w:id="203"/>
      <w:bookmarkEnd w:id="204"/>
      <w:bookmarkEnd w:id="205"/>
      <w:bookmarkEnd w:id="206"/>
      <w:bookmarkEnd w:id="207"/>
      <w:bookmarkEnd w:id="208"/>
      <w:r>
        <w:rPr>
          <w:rFonts w:hint="eastAsia"/>
        </w:rPr>
        <w:t>报告</w:t>
      </w:r>
      <w:bookmarkEnd w:id="209"/>
      <w:bookmarkEnd w:id="210"/>
      <w:bookmarkEnd w:id="211"/>
      <w:bookmarkEnd w:id="212"/>
      <w:bookmarkEnd w:id="213"/>
    </w:p>
    <w:p w14:paraId="304CD1C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围绕《公共场所卫生管理规范（</w:t>
      </w:r>
      <w:r>
        <w:rPr>
          <w:rFonts w:cs="Times New Roman" w:hint="eastAsia"/>
          <w:szCs w:val="24"/>
        </w:rPr>
        <w:t>GB37487-2019</w:t>
      </w:r>
      <w:r>
        <w:rPr>
          <w:rFonts w:cs="Times New Roman" w:hint="eastAsia"/>
          <w:szCs w:val="24"/>
        </w:rPr>
        <w:t>）》修订需求开展调查，重点关注和评估该标准实施以来在保障公共场所卫生安全中的作用，并结合社会发展、技术进步及新卫生问题的出现，探究标准修订的必要性和具体需求。调研通过线上微信平台，于</w:t>
      </w:r>
      <w:r>
        <w:rPr>
          <w:rFonts w:cs="Times New Roman" w:hint="eastAsia"/>
          <w:szCs w:val="24"/>
        </w:rPr>
        <w:t>2025</w:t>
      </w:r>
      <w:r>
        <w:rPr>
          <w:rFonts w:cs="Times New Roman" w:hint="eastAsia"/>
          <w:szCs w:val="24"/>
        </w:rPr>
        <w:t>年</w:t>
      </w:r>
      <w:r>
        <w:rPr>
          <w:rFonts w:cs="Times New Roman" w:hint="eastAsia"/>
          <w:szCs w:val="24"/>
        </w:rPr>
        <w:t>6</w:t>
      </w:r>
      <w:r>
        <w:rPr>
          <w:rFonts w:cs="Times New Roman" w:hint="eastAsia"/>
          <w:szCs w:val="24"/>
        </w:rPr>
        <w:t>月</w:t>
      </w:r>
      <w:r>
        <w:rPr>
          <w:rFonts w:cs="Times New Roman" w:hint="eastAsia"/>
          <w:szCs w:val="24"/>
        </w:rPr>
        <w:t>5</w:t>
      </w:r>
      <w:r>
        <w:rPr>
          <w:rFonts w:cs="Times New Roman" w:hint="eastAsia"/>
          <w:szCs w:val="24"/>
        </w:rPr>
        <w:t>日至</w:t>
      </w:r>
      <w:r>
        <w:rPr>
          <w:rFonts w:cs="Times New Roman" w:hint="eastAsia"/>
          <w:szCs w:val="24"/>
        </w:rPr>
        <w:t>6</w:t>
      </w:r>
      <w:r>
        <w:rPr>
          <w:rFonts w:cs="Times New Roman" w:hint="eastAsia"/>
          <w:szCs w:val="24"/>
        </w:rPr>
        <w:t>月</w:t>
      </w:r>
      <w:r>
        <w:rPr>
          <w:rFonts w:cs="Times New Roman" w:hint="eastAsia"/>
          <w:szCs w:val="24"/>
        </w:rPr>
        <w:t>11</w:t>
      </w:r>
      <w:r>
        <w:rPr>
          <w:rFonts w:cs="Times New Roman" w:hint="eastAsia"/>
          <w:szCs w:val="24"/>
        </w:rPr>
        <w:t>日面向全国不同地区、不同类型公共场所的经营者与管理人员、卫生专业人员、卫生监督人员等发放问卷，共回收</w:t>
      </w:r>
      <w:r>
        <w:rPr>
          <w:rFonts w:cs="Times New Roman" w:hint="eastAsia"/>
          <w:szCs w:val="24"/>
        </w:rPr>
        <w:t>57</w:t>
      </w:r>
      <w:r>
        <w:rPr>
          <w:rFonts w:cs="Times New Roman" w:hint="eastAsia"/>
          <w:szCs w:val="24"/>
        </w:rPr>
        <w:t>份有效问卷。调查内容聚焦于标准执行情况、存在问题及修订建议。调研结果发现被调查者关注的问题有：明确范围与分类、增强规范适用性、更新引用文件、优化术语与条款、强化条款合理性以及如何保障标准有效实施等。本调查为本次标准修订提供了科学依据，并就进一步完善规范、提升公共场所卫生管理水平提出了更高要求。本部分调研形成专题评估报告（附件</w:t>
      </w:r>
      <w:r>
        <w:rPr>
          <w:rFonts w:cs="Times New Roman" w:hint="eastAsia"/>
          <w:szCs w:val="24"/>
        </w:rPr>
        <w:t>1</w:t>
      </w:r>
      <w:r>
        <w:rPr>
          <w:rFonts w:cs="Times New Roman" w:hint="eastAsia"/>
          <w:szCs w:val="24"/>
        </w:rPr>
        <w:t>）。简版报告如下。</w:t>
      </w:r>
    </w:p>
    <w:p w14:paraId="0E18841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1.</w:t>
      </w:r>
      <w:r>
        <w:rPr>
          <w:rFonts w:cs="Times New Roman" w:hint="eastAsia"/>
          <w:szCs w:val="24"/>
        </w:rPr>
        <w:t>研究目的</w:t>
      </w:r>
    </w:p>
    <w:p w14:paraId="5D8FC35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为科学评估《公共场所卫生管理规范（</w:t>
      </w:r>
      <w:r>
        <w:rPr>
          <w:rFonts w:cs="Times New Roman" w:hint="eastAsia"/>
          <w:szCs w:val="24"/>
        </w:rPr>
        <w:t>GB37487-2019</w:t>
      </w:r>
      <w:r>
        <w:rPr>
          <w:rFonts w:cs="Times New Roman" w:hint="eastAsia"/>
          <w:szCs w:val="24"/>
        </w:rPr>
        <w:t>）》的实施效果与适用性，深入了解实践中存在的不足及面临的挑战，识别具体修订需求，确保标准能有效指导新时期公共场所卫生管理工作，支撑行业高质量发展。</w:t>
      </w:r>
    </w:p>
    <w:p w14:paraId="6F46A74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w:t>
      </w:r>
      <w:r>
        <w:rPr>
          <w:rFonts w:cs="Times New Roman" w:hint="eastAsia"/>
          <w:szCs w:val="24"/>
        </w:rPr>
        <w:t>研究方法</w:t>
      </w:r>
    </w:p>
    <w:p w14:paraId="048CC04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采用专项问卷调查的方法，于</w:t>
      </w:r>
      <w:r>
        <w:rPr>
          <w:rFonts w:cs="Times New Roman" w:hint="eastAsia"/>
          <w:szCs w:val="24"/>
        </w:rPr>
        <w:t>2025</w:t>
      </w:r>
      <w:r>
        <w:rPr>
          <w:rFonts w:cs="Times New Roman" w:hint="eastAsia"/>
          <w:szCs w:val="24"/>
        </w:rPr>
        <w:t>年</w:t>
      </w:r>
      <w:r>
        <w:rPr>
          <w:rFonts w:cs="Times New Roman" w:hint="eastAsia"/>
          <w:szCs w:val="24"/>
        </w:rPr>
        <w:t>6</w:t>
      </w:r>
      <w:r>
        <w:rPr>
          <w:rFonts w:cs="Times New Roman" w:hint="eastAsia"/>
          <w:szCs w:val="24"/>
        </w:rPr>
        <w:t>月</w:t>
      </w:r>
      <w:r>
        <w:rPr>
          <w:rFonts w:cs="Times New Roman" w:hint="eastAsia"/>
          <w:szCs w:val="24"/>
        </w:rPr>
        <w:t>5-11</w:t>
      </w:r>
      <w:r>
        <w:rPr>
          <w:rFonts w:cs="Times New Roman" w:hint="eastAsia"/>
          <w:szCs w:val="24"/>
        </w:rPr>
        <w:t>日通过问卷星平台面向卫生监督局（所）、疾病预防控制中心、公共场所经营者和管理者等开展调查。共收回有效问卷</w:t>
      </w:r>
      <w:r>
        <w:rPr>
          <w:rFonts w:cs="Times New Roman" w:hint="eastAsia"/>
          <w:szCs w:val="24"/>
        </w:rPr>
        <w:t>57</w:t>
      </w:r>
      <w:r>
        <w:rPr>
          <w:rFonts w:cs="Times New Roman" w:hint="eastAsia"/>
          <w:szCs w:val="24"/>
        </w:rPr>
        <w:t>份。调查内容主要围绕现行标准（</w:t>
      </w:r>
      <w:r>
        <w:rPr>
          <w:rFonts w:cs="Times New Roman" w:hint="eastAsia"/>
          <w:szCs w:val="24"/>
        </w:rPr>
        <w:t>GB37487-2019</w:t>
      </w:r>
      <w:r>
        <w:rPr>
          <w:rFonts w:cs="Times New Roman" w:hint="eastAsia"/>
          <w:szCs w:val="24"/>
        </w:rPr>
        <w:t>）条款，参考相关法律法规、国内外类似标准及实际工作常见问题，收集公共场所相关技术人员对于标准各条款的修订需求与改进建议。</w:t>
      </w:r>
    </w:p>
    <w:p w14:paraId="26B99AD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主要结果</w:t>
      </w:r>
    </w:p>
    <w:p w14:paraId="397620A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现行标准在多个方面存在显著修订需求。</w:t>
      </w:r>
    </w:p>
    <w:p w14:paraId="03CF1B0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）范围界定模糊，行业适应性不足。建议删除不合时宜的“录像厅”；“其他公共场所可参照使用”缺乏指导性（如温泉场所参照依据不明），需明确适用情景。</w:t>
      </w:r>
    </w:p>
    <w:p w14:paraId="3B4DBC0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）规范性引用文件滞后，削弱标准效力。</w:t>
      </w:r>
    </w:p>
    <w:p w14:paraId="30325CF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引用的“</w:t>
      </w:r>
      <w:r>
        <w:rPr>
          <w:rFonts w:cs="Times New Roman" w:hint="eastAsia"/>
          <w:szCs w:val="24"/>
        </w:rPr>
        <w:t>WS</w:t>
      </w:r>
      <w:r>
        <w:rPr>
          <w:rFonts w:cs="Times New Roman"/>
          <w:szCs w:val="24"/>
        </w:rPr>
        <w:t xml:space="preserve"> 394 </w:t>
      </w:r>
      <w:r>
        <w:rPr>
          <w:rFonts w:cs="Times New Roman" w:hint="eastAsia"/>
          <w:szCs w:val="24"/>
        </w:rPr>
        <w:t>公共场所集中空调通风系统卫生规范”已作废，应更新为最新有效标准。</w:t>
      </w:r>
    </w:p>
    <w:p w14:paraId="17261B9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）术语和定义陈旧，脱离实际。</w:t>
      </w:r>
    </w:p>
    <w:p w14:paraId="2BFD6D3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“工作车”的定义与当前行业实践不符，需重新梳理与定义。</w:t>
      </w:r>
    </w:p>
    <w:p w14:paraId="3453860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）条款要求存在模糊、不合理或缺失，可操作性差</w:t>
      </w:r>
    </w:p>
    <w:p w14:paraId="0349E3C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要求不明确</w:t>
      </w:r>
      <w:r>
        <w:rPr>
          <w:rFonts w:cs="Times New Roman" w:hint="eastAsia"/>
          <w:szCs w:val="24"/>
        </w:rPr>
        <w:t>/</w:t>
      </w:r>
      <w:r>
        <w:rPr>
          <w:rFonts w:cs="Times New Roman" w:hint="eastAsia"/>
          <w:szCs w:val="24"/>
        </w:rPr>
        <w:t>模糊。如“经常性卫生清扫”、“定期保洁”中“经常”、“定期”缺乏界定；“先进先出”记录、消毒记录等保存年限需明确；消毒物品浓度要求应加入记录。</w:t>
      </w:r>
    </w:p>
    <w:p w14:paraId="44B53C3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要求不合理</w:t>
      </w:r>
      <w:r>
        <w:rPr>
          <w:rFonts w:cs="Times New Roman" w:hint="eastAsia"/>
          <w:szCs w:val="24"/>
        </w:rPr>
        <w:t>/</w:t>
      </w:r>
      <w:r>
        <w:rPr>
          <w:rFonts w:cs="Times New Roman" w:hint="eastAsia"/>
          <w:szCs w:val="24"/>
        </w:rPr>
        <w:t>执行困难。如要求美容唇膏、眉笔完全“个人专用，不得共用混用”在消耗品上难以实现；要求“公共卫生间应配置足量洗手物品”应细化（如明确提供洗手液</w:t>
      </w:r>
      <w:r>
        <w:rPr>
          <w:rFonts w:cs="Times New Roman" w:hint="eastAsia"/>
          <w:szCs w:val="24"/>
        </w:rPr>
        <w:t>/</w:t>
      </w:r>
      <w:r>
        <w:rPr>
          <w:rFonts w:cs="Times New Roman" w:hint="eastAsia"/>
          <w:szCs w:val="24"/>
        </w:rPr>
        <w:t>肥皂等）；“美发场所头癣</w:t>
      </w:r>
      <w:r>
        <w:rPr>
          <w:rFonts w:cs="Times New Roman" w:hint="eastAsia"/>
          <w:szCs w:val="24"/>
        </w:rPr>
        <w:t>/</w:t>
      </w:r>
      <w:r>
        <w:rPr>
          <w:rFonts w:cs="Times New Roman" w:hint="eastAsia"/>
          <w:szCs w:val="24"/>
        </w:rPr>
        <w:t>皮肤病患者专用工具”标识建议改为“特殊用途工具”以更易接受。</w:t>
      </w:r>
    </w:p>
    <w:p w14:paraId="77D2DBE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内容缺失</w:t>
      </w:r>
      <w:r>
        <w:rPr>
          <w:rFonts w:cs="Times New Roman" w:hint="eastAsia"/>
          <w:szCs w:val="24"/>
        </w:rPr>
        <w:t>/</w:t>
      </w:r>
      <w:r>
        <w:rPr>
          <w:rFonts w:cs="Times New Roman" w:hint="eastAsia"/>
          <w:szCs w:val="24"/>
        </w:rPr>
        <w:t>需细化。如缺乏“地下室强制通风要求”；“清洗消毒间需强制通风以防消毒剂中毒”；“需考虑公共用品外送洗涤情景”；缺少对直饮水标准的明确；消毒要求（如方法、周期）需细化；“从业人员复训周期”建议由</w:t>
      </w:r>
      <w:r>
        <w:rPr>
          <w:rFonts w:cs="Times New Roman" w:hint="eastAsia"/>
          <w:szCs w:val="24"/>
        </w:rPr>
        <w:t>2</w:t>
      </w:r>
      <w:r>
        <w:rPr>
          <w:rFonts w:cs="Times New Roman" w:hint="eastAsia"/>
          <w:szCs w:val="24"/>
        </w:rPr>
        <w:t>年改</w:t>
      </w:r>
      <w:r>
        <w:rPr>
          <w:rFonts w:cs="Times New Roman" w:hint="eastAsia"/>
          <w:szCs w:val="24"/>
        </w:rPr>
        <w:lastRenderedPageBreak/>
        <w:t>为</w:t>
      </w:r>
      <w:r>
        <w:rPr>
          <w:rFonts w:cs="Times New Roman" w:hint="eastAsia"/>
          <w:szCs w:val="24"/>
        </w:rPr>
        <w:t>1</w:t>
      </w:r>
      <w:r>
        <w:rPr>
          <w:rFonts w:cs="Times New Roman" w:hint="eastAsia"/>
          <w:szCs w:val="24"/>
        </w:rPr>
        <w:t>年。</w:t>
      </w:r>
    </w:p>
    <w:p w14:paraId="6F4BDF7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表述需精确</w:t>
      </w:r>
      <w:r>
        <w:rPr>
          <w:rFonts w:cs="Times New Roman" w:hint="eastAsia"/>
          <w:szCs w:val="24"/>
        </w:rPr>
        <w:t>/</w:t>
      </w:r>
      <w:r>
        <w:rPr>
          <w:rFonts w:cs="Times New Roman" w:hint="eastAsia"/>
          <w:szCs w:val="24"/>
        </w:rPr>
        <w:t>提升强制性。由于本标准为强制性国标，全文“宜”字建议改为肯定表述；“应立即处置”（应急预案）建议结合实际情况修改；“放置安全套”要求建议删除。</w:t>
      </w:r>
    </w:p>
    <w:p w14:paraId="4CC81C3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技术细节需更新。如删除燃气热水器条款中的“燃气瓶”（通常为管道气）。</w:t>
      </w:r>
    </w:p>
    <w:p w14:paraId="33EF30F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4.</w:t>
      </w:r>
      <w:r>
        <w:rPr>
          <w:rFonts w:cs="Times New Roman" w:hint="eastAsia"/>
          <w:szCs w:val="24"/>
        </w:rPr>
        <w:t>主要结论</w:t>
      </w:r>
    </w:p>
    <w:p w14:paraId="7A35418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）标准适用性不足。范围界定不清、条款可操作性差，难以有效指导新兴业态（如温泉）和日常管理实践。</w:t>
      </w:r>
    </w:p>
    <w:p w14:paraId="68209A4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）引用文件与实际脱节。关键引用标准过期未更新（如</w:t>
      </w:r>
      <w:r>
        <w:rPr>
          <w:rFonts w:cs="Times New Roman" w:hint="eastAsia"/>
          <w:szCs w:val="24"/>
        </w:rPr>
        <w:t>WS</w:t>
      </w:r>
      <w:r>
        <w:rPr>
          <w:rFonts w:cs="Times New Roman"/>
          <w:szCs w:val="24"/>
        </w:rPr>
        <w:t xml:space="preserve"> </w:t>
      </w:r>
      <w:r>
        <w:rPr>
          <w:rFonts w:cs="Times New Roman" w:hint="eastAsia"/>
          <w:szCs w:val="24"/>
        </w:rPr>
        <w:t>394</w:t>
      </w:r>
      <w:r>
        <w:rPr>
          <w:rFonts w:cs="Times New Roman" w:hint="eastAsia"/>
          <w:szCs w:val="24"/>
        </w:rPr>
        <w:t>），严重削弱标准的技术权威性和执行效力。</w:t>
      </w:r>
    </w:p>
    <w:p w14:paraId="45CCABA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）条款亟待细化与完善。大量条款在具体要求、时间周期、操作细节等方面存在模糊、不合理或缺失（如术语定义、保存期限、“宜”“应”区别、通风、消毒等），导致执行标准不统一。</w:t>
      </w:r>
    </w:p>
    <w:p w14:paraId="57E30A0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）部分内容与现实不符。部分术语定义（如工作车）和管理要求（如消耗性美容品专用、安全套放置）已明显脱离行业现实和发展需求，亟需修改更新。</w:t>
      </w:r>
    </w:p>
    <w:p w14:paraId="3C0483E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5.</w:t>
      </w:r>
      <w:r>
        <w:rPr>
          <w:rFonts w:cs="Times New Roman" w:hint="eastAsia"/>
          <w:szCs w:val="24"/>
        </w:rPr>
        <w:t>修订建议</w:t>
      </w:r>
    </w:p>
    <w:p w14:paraId="1444710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）明确范围与分类。重新梳理公共场所类型，删除过时场所（录像厅），清晰界定“其他场所”的参照适用性。</w:t>
      </w:r>
    </w:p>
    <w:p w14:paraId="20B12A6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）更新引用文件。彻底核查并更新所有规范性引用文件，建立动态跟踪更新机制。</w:t>
      </w:r>
    </w:p>
    <w:p w14:paraId="47B3A95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优化术语与条款。广泛征集意见，修订过时术语；对模糊、不合理条款进行细化（如明确定期时间、保存年限）、修改（如美容品、专用工具标识、安全套要求）和补充（如地下室通风、消毒间安全要求、外送洗涤、直饮水标准）；提升“宜”为“应”以增强约束力（如标牌）。</w:t>
      </w:r>
    </w:p>
    <w:p w14:paraId="52749A9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）强化条款合理性。确保标准要求既科学严谨，又符合实际运营条件和管理能力（如复训周期），保障标准的有效落地，切实提升公共场所整体卫生管理水平。</w:t>
      </w:r>
    </w:p>
    <w:p w14:paraId="5E5A8158" w14:textId="77777777" w:rsidR="00D4394E" w:rsidRDefault="00000000">
      <w:pPr>
        <w:pStyle w:val="3"/>
        <w:ind w:firstLine="482"/>
      </w:pPr>
      <w:bookmarkStart w:id="214" w:name="_Toc14068"/>
      <w:bookmarkStart w:id="215" w:name="_Toc7957"/>
      <w:bookmarkStart w:id="216" w:name="_Toc25574"/>
      <w:bookmarkStart w:id="217" w:name="_Toc11959"/>
      <w:bookmarkStart w:id="218" w:name="_Toc10738"/>
      <w:bookmarkStart w:id="219" w:name="_Toc26133"/>
      <w:bookmarkStart w:id="220" w:name="_Toc6989"/>
      <w:bookmarkStart w:id="221" w:name="_Toc9425"/>
      <w:bookmarkStart w:id="222" w:name="_Toc18625"/>
      <w:bookmarkStart w:id="223" w:name="_Toc11523"/>
      <w:bookmarkStart w:id="224" w:name="_Toc14956"/>
      <w:bookmarkStart w:id="225" w:name="_Toc31188"/>
      <w:bookmarkStart w:id="226" w:name="_Toc7485"/>
      <w:r>
        <w:rPr>
          <w:rFonts w:hint="eastAsia"/>
        </w:rPr>
        <w:t>2.</w:t>
      </w:r>
      <w:r>
        <w:rPr>
          <w:rFonts w:hint="eastAsia"/>
        </w:rPr>
        <w:t>国内外公共场所卫生管理文献调研</w:t>
      </w:r>
      <w:bookmarkEnd w:id="214"/>
      <w:bookmarkEnd w:id="215"/>
      <w:bookmarkEnd w:id="216"/>
      <w:bookmarkEnd w:id="217"/>
      <w:bookmarkEnd w:id="218"/>
      <w:bookmarkEnd w:id="219"/>
      <w:bookmarkEnd w:id="220"/>
      <w:bookmarkEnd w:id="221"/>
      <w:r>
        <w:rPr>
          <w:rFonts w:hint="eastAsia"/>
        </w:rPr>
        <w:t>报告</w:t>
      </w:r>
      <w:bookmarkEnd w:id="222"/>
      <w:bookmarkEnd w:id="223"/>
      <w:bookmarkEnd w:id="224"/>
      <w:bookmarkEnd w:id="225"/>
      <w:bookmarkEnd w:id="226"/>
    </w:p>
    <w:p w14:paraId="5120F08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为评估国内外各类公共场所的卫生管理需求，基于公开发表的文献进行了调研，以了解不同公共场所卫生管理所面临的问题和以及现有卫生管理规范使用过程中存在的不足。通过检索中国知网、万方、</w:t>
      </w:r>
      <w:r>
        <w:rPr>
          <w:rFonts w:cs="Times New Roman" w:hint="eastAsia"/>
          <w:szCs w:val="24"/>
        </w:rPr>
        <w:t>PubMed</w:t>
      </w:r>
      <w:r>
        <w:rPr>
          <w:rFonts w:cs="Times New Roman" w:hint="eastAsia"/>
          <w:szCs w:val="24"/>
        </w:rPr>
        <w:t>等权威中英文文献数据库，采用“公共场所名称”、“卫生管理”等关键词检索，排除各项检测指标合格率均</w:t>
      </w:r>
      <w:r>
        <w:rPr>
          <w:rFonts w:cs="Times New Roman" w:hint="eastAsia"/>
          <w:szCs w:val="24"/>
        </w:rPr>
        <w:t>&gt;90%</w:t>
      </w:r>
      <w:r>
        <w:rPr>
          <w:rFonts w:cs="Times New Roman" w:hint="eastAsia"/>
          <w:szCs w:val="24"/>
        </w:rPr>
        <w:t>的文献，将不同类型公共场所的卫生管理问题进行分类整理和记录，共检索到</w:t>
      </w:r>
      <w:r>
        <w:rPr>
          <w:rFonts w:cs="Times New Roman" w:hint="eastAsia"/>
          <w:szCs w:val="24"/>
        </w:rPr>
        <w:t>869</w:t>
      </w:r>
      <w:r>
        <w:rPr>
          <w:rFonts w:cs="Times New Roman" w:hint="eastAsia"/>
          <w:szCs w:val="24"/>
        </w:rPr>
        <w:t>篇文献，经过筛选后最终纳入</w:t>
      </w:r>
      <w:r>
        <w:rPr>
          <w:rFonts w:cs="Times New Roman" w:hint="eastAsia"/>
          <w:szCs w:val="24"/>
        </w:rPr>
        <w:t>120</w:t>
      </w:r>
      <w:r>
        <w:rPr>
          <w:rFonts w:cs="Times New Roman" w:hint="eastAsia"/>
          <w:szCs w:val="24"/>
        </w:rPr>
        <w:t>篇符合要求的文献。文献报道的公共场所卫生管理需求主要集中在以下几个方面：一是根据场所可能存在的健康风险采取分级卫生管理措施；二是新业态公共场所卫生管理标准有待完善；三是继续加强卫生管理制度建设；四是采用集中空调的大型公共场所应加强空调设施的卫生管理；五是通过顾客监督履行加强小型公共场所卫生管理；六是外送清洗管理问题突出，需要加强监管。本部分调研形成专题调研报告（附件</w:t>
      </w:r>
      <w:r>
        <w:rPr>
          <w:rFonts w:cs="Times New Roman" w:hint="eastAsia"/>
          <w:szCs w:val="24"/>
        </w:rPr>
        <w:t>2</w:t>
      </w:r>
      <w:r>
        <w:rPr>
          <w:rFonts w:cs="Times New Roman" w:hint="eastAsia"/>
          <w:szCs w:val="24"/>
        </w:rPr>
        <w:t>）。简版报告如下。</w:t>
      </w:r>
    </w:p>
    <w:p w14:paraId="77B9140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1.</w:t>
      </w:r>
      <w:r>
        <w:rPr>
          <w:rFonts w:cs="Times New Roman" w:hint="eastAsia"/>
          <w:szCs w:val="24"/>
        </w:rPr>
        <w:t>研究目的</w:t>
      </w:r>
    </w:p>
    <w:p w14:paraId="12435E3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我国现行的《公共场所卫生管理规范》（</w:t>
      </w:r>
      <w:r>
        <w:rPr>
          <w:rFonts w:cs="Times New Roman" w:hint="eastAsia"/>
          <w:szCs w:val="24"/>
        </w:rPr>
        <w:t>GB</w:t>
      </w:r>
      <w:r>
        <w:rPr>
          <w:rFonts w:cs="Times New Roman"/>
          <w:szCs w:val="24"/>
        </w:rPr>
        <w:t xml:space="preserve"> </w:t>
      </w:r>
      <w:r>
        <w:rPr>
          <w:rFonts w:cs="Times New Roman" w:hint="eastAsia"/>
          <w:szCs w:val="24"/>
        </w:rPr>
        <w:t>37487</w:t>
      </w:r>
      <w:r>
        <w:rPr>
          <w:rFonts w:cs="Times New Roman" w:hint="eastAsia"/>
          <w:szCs w:val="24"/>
        </w:rPr>
        <w:t>—</w:t>
      </w:r>
      <w:r>
        <w:rPr>
          <w:rFonts w:cs="Times New Roman" w:hint="eastAsia"/>
          <w:szCs w:val="24"/>
        </w:rPr>
        <w:t>2019</w:t>
      </w:r>
      <w:r>
        <w:rPr>
          <w:rFonts w:cs="Times New Roman" w:hint="eastAsia"/>
          <w:szCs w:val="24"/>
        </w:rPr>
        <w:t>）自颁布实施以来，在使用和执行过程中发现一些问题。本报告通过对公开文献进行调研，分析并总</w:t>
      </w:r>
      <w:r>
        <w:rPr>
          <w:rFonts w:cs="Times New Roman" w:hint="eastAsia"/>
          <w:szCs w:val="24"/>
        </w:rPr>
        <w:lastRenderedPageBreak/>
        <w:t>结国内外公共场所卫生管理的需求，为规范的修订提供文献研究支撑。</w:t>
      </w:r>
    </w:p>
    <w:p w14:paraId="3D81301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w:t>
      </w:r>
      <w:r>
        <w:rPr>
          <w:rFonts w:cs="Times New Roman" w:hint="eastAsia"/>
          <w:szCs w:val="24"/>
        </w:rPr>
        <w:t>研究方法</w:t>
      </w:r>
    </w:p>
    <w:p w14:paraId="201E448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选择宾馆（酒店）等二十余种场所作为典型公共场所，通过近十年公开文献调研，分析和总结了国内外公共场所卫生管理的需求及要点。</w:t>
      </w:r>
    </w:p>
    <w:p w14:paraId="44380A5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基于公开文献调研，采用“‘公共场所名称’</w:t>
      </w:r>
      <w:r>
        <w:rPr>
          <w:rFonts w:cs="Times New Roman" w:hint="eastAsia"/>
          <w:szCs w:val="24"/>
        </w:rPr>
        <w:t>AND</w:t>
      </w:r>
      <w:r>
        <w:rPr>
          <w:rFonts w:cs="Times New Roman" w:hint="eastAsia"/>
          <w:szCs w:val="24"/>
        </w:rPr>
        <w:t>‘卫生管理’”为检索关键词，对万方、中国知网、</w:t>
      </w:r>
      <w:r>
        <w:rPr>
          <w:rFonts w:cs="Times New Roman" w:hint="eastAsia"/>
          <w:szCs w:val="24"/>
        </w:rPr>
        <w:t>PubMed</w:t>
      </w:r>
      <w:r>
        <w:rPr>
          <w:rFonts w:cs="Times New Roman" w:hint="eastAsia"/>
          <w:szCs w:val="24"/>
        </w:rPr>
        <w:t>等权威全文数据库进行检索</w:t>
      </w:r>
      <w:r>
        <w:rPr>
          <w:rFonts w:cs="Times New Roman" w:hint="eastAsia"/>
          <w:szCs w:val="24"/>
        </w:rPr>
        <w:t>2015-2025</w:t>
      </w:r>
      <w:r>
        <w:rPr>
          <w:rFonts w:cs="Times New Roman" w:hint="eastAsia"/>
          <w:szCs w:val="24"/>
        </w:rPr>
        <w:t>年公开发表的文献，共检索到</w:t>
      </w:r>
      <w:r>
        <w:rPr>
          <w:rFonts w:cs="Times New Roman" w:hint="eastAsia"/>
          <w:szCs w:val="24"/>
        </w:rPr>
        <w:t>869</w:t>
      </w:r>
      <w:r>
        <w:rPr>
          <w:rFonts w:cs="Times New Roman" w:hint="eastAsia"/>
          <w:szCs w:val="24"/>
        </w:rPr>
        <w:t>篇文献，经过筛选后最终纳入</w:t>
      </w:r>
      <w:r>
        <w:rPr>
          <w:rFonts w:cs="Times New Roman" w:hint="eastAsia"/>
          <w:szCs w:val="24"/>
        </w:rPr>
        <w:t>120</w:t>
      </w:r>
      <w:r>
        <w:rPr>
          <w:rFonts w:cs="Times New Roman" w:hint="eastAsia"/>
          <w:szCs w:val="24"/>
        </w:rPr>
        <w:t>篇符合要求的文献。</w:t>
      </w:r>
    </w:p>
    <w:p w14:paraId="34F2A6B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主要结果</w:t>
      </w:r>
    </w:p>
    <w:p w14:paraId="5BF3A4C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）以健康风险控制为导向，亟需构建差异化的公共场所卫生管理体系</w:t>
      </w:r>
    </w:p>
    <w:p w14:paraId="2D04893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功能各异、人群停留时间不同、场所主要的健康风险各不相同。宾馆等住宿场所、公共浴室、游泳场等涉水公共场所、理发美容店、影剧院、商场、候诊室、候车室等公共场所人流量大，部分大型公共场所依赖集中空调运行，室内空气、公共用品用具污染风险高，健康风险问题突出，有必要从严管理。公共场所目前采用完全一致的卫生管理制度，高健康风险场所仍然存在隐患，低健康风险场所的管理增加了管理成本和负担。因此，以健康风险控制为导向，开展分级管理能够有效解决上述问题。</w:t>
      </w:r>
    </w:p>
    <w:p w14:paraId="221185B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）新业态公共场所卫生管理标准有待完善</w:t>
      </w:r>
    </w:p>
    <w:p w14:paraId="15435277"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随着社会发展，新型公共场所业态不断出现，例如月子中心、养老机构等与妇幼、儿童等脆弱人群健康密切相关。在能够检索到的相关文献中，均强调了这类场所由于缺乏相应的卫生评价标准，普遍存在监管缺失的现象。以婴幼儿游泳馆为例，即使对照一般公共场所卫生管理标准，仍然发现多类、多项指标不合格的情况，提示此类场所潜在健康风险非常高。与脆弱人群健康相关的新型业态场所，应从严加强管理，保护人群健康。</w:t>
      </w:r>
    </w:p>
    <w:p w14:paraId="52BF4D5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）继续加强卫生管理制度建设</w:t>
      </w:r>
    </w:p>
    <w:p w14:paraId="1005C4B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卫生管理制度的制定和实施，是保证公共场所运行过程中卫生管理符合规范要求的基本机制。文献梳理过程发现多个公共场所存在卫生制度管理不到位的问题，反映经营者和从业者对场所卫生管理意识不足，缺少基本常识，相关培训和宣讲不够等问题。公共场所经营者和从业人员对于卫生管理制度的了解和掌握，是决定该场所卫生管理水平的重要因素，有必要不断加强和完善。</w:t>
      </w:r>
    </w:p>
    <w:p w14:paraId="485955D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）加强使用集中空调的大型公共场所的空调设施管理</w:t>
      </w:r>
    </w:p>
    <w:p w14:paraId="263FB28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集中空调通常在大型公共场所使用，受众人群数量大，一旦出现卫生指标不合格的情况，容易导致大规模人群健康问题。但是，由于集中空调清洗、消毒等制度落实不到位，导致冷却水嗜肺军团菌检出阳性，风管积尘超标等问题，具有潜在的健康危害，有必要进一步加强集中空调的卫生管理措施。</w:t>
      </w:r>
    </w:p>
    <w:p w14:paraId="74B114E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5</w:t>
      </w:r>
      <w:r>
        <w:rPr>
          <w:rFonts w:cs="Times New Roman" w:hint="eastAsia"/>
          <w:szCs w:val="24"/>
        </w:rPr>
        <w:t>）完善标志标识张贴，通过顾客监督履行加强“四小”场所卫生管理</w:t>
      </w:r>
    </w:p>
    <w:p w14:paraId="487BA14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小型场所数量多，占比大，是卫生监管的重点和难点。多篇文献提出针对“四小”场所的管理应当主张改变思路，创新方法，根据场所特点，在场所内张贴相应的卫生管理规范标识，例如张贴“本店公共用品一客一消”，“禁止吸烟”等标识，由作业人员自觉履行变成由顾客监督履行，有助于改善场所卫生管理水平。</w:t>
      </w:r>
      <w:r>
        <w:rPr>
          <w:rFonts w:cs="Times New Roman" w:hint="eastAsia"/>
          <w:szCs w:val="24"/>
        </w:rPr>
        <w:t xml:space="preserve"> </w:t>
      </w:r>
    </w:p>
    <w:p w14:paraId="49E820F3"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6</w:t>
      </w:r>
      <w:r>
        <w:rPr>
          <w:rFonts w:cs="Times New Roman" w:hint="eastAsia"/>
          <w:szCs w:val="24"/>
        </w:rPr>
        <w:t>）外送清洗管理问题突出，需要加强监管</w:t>
      </w:r>
    </w:p>
    <w:p w14:paraId="6944EE87" w14:textId="77777777" w:rsidR="00D4394E" w:rsidRDefault="00000000">
      <w:pPr>
        <w:adjustRightInd w:val="0"/>
        <w:snapToGrid w:val="0"/>
        <w:spacing w:line="240" w:lineRule="auto"/>
        <w:ind w:firstLineChars="200" w:firstLine="480"/>
        <w:rPr>
          <w:sz w:val="20"/>
        </w:rPr>
      </w:pPr>
      <w:r>
        <w:rPr>
          <w:rFonts w:cs="Times New Roman" w:hint="eastAsia"/>
          <w:szCs w:val="24"/>
        </w:rPr>
        <w:t>公共场所用品用具检测不合格的项目主要集中在纺织品</w:t>
      </w:r>
      <w:r>
        <w:rPr>
          <w:rFonts w:cs="Times New Roman" w:hint="eastAsia"/>
          <w:szCs w:val="24"/>
        </w:rPr>
        <w:t>pH</w:t>
      </w:r>
      <w:r>
        <w:rPr>
          <w:rFonts w:cs="Times New Roman" w:hint="eastAsia"/>
          <w:szCs w:val="24"/>
        </w:rPr>
        <w:t>值超标和细菌总数超标。主要原因是公共场所纺织品外送清洗消毒的比例逐年增加，但是对外送清洗消毒承接单位的监管缺失，存在过量使用碱性洗涤剂、漂洗不充分等问题。</w:t>
      </w:r>
      <w:r>
        <w:rPr>
          <w:rFonts w:cs="Times New Roman" w:hint="eastAsia"/>
          <w:szCs w:val="24"/>
        </w:rPr>
        <w:lastRenderedPageBreak/>
        <w:t>加强监管外送清洗，是提高公共用品用具卫生监测合格率的重要环节。</w:t>
      </w:r>
    </w:p>
    <w:p w14:paraId="147FB299" w14:textId="77777777" w:rsidR="00D4394E" w:rsidRDefault="00000000">
      <w:pPr>
        <w:pStyle w:val="3"/>
        <w:numPr>
          <w:ilvl w:val="255"/>
          <w:numId w:val="0"/>
        </w:numPr>
        <w:ind w:leftChars="200" w:left="480"/>
      </w:pPr>
      <w:bookmarkStart w:id="227" w:name="_Toc25137"/>
      <w:bookmarkStart w:id="228" w:name="_Toc1388"/>
      <w:bookmarkStart w:id="229" w:name="_Toc10511"/>
      <w:bookmarkStart w:id="230" w:name="_Toc28192"/>
      <w:bookmarkStart w:id="231" w:name="_Toc11797"/>
      <w:bookmarkStart w:id="232" w:name="_Toc19961"/>
      <w:bookmarkStart w:id="233" w:name="_Toc11927"/>
      <w:bookmarkStart w:id="234" w:name="_Toc21184"/>
      <w:bookmarkStart w:id="235" w:name="_Toc15118"/>
      <w:bookmarkStart w:id="236" w:name="_Toc6356"/>
      <w:bookmarkStart w:id="237" w:name="_Toc9528"/>
      <w:bookmarkStart w:id="238" w:name="_Toc2310"/>
      <w:bookmarkStart w:id="239" w:name="_Toc18063"/>
      <w:r>
        <w:rPr>
          <w:rFonts w:hint="eastAsia"/>
        </w:rPr>
        <w:t>3.</w:t>
      </w:r>
      <w:r>
        <w:rPr>
          <w:rFonts w:hint="eastAsia"/>
        </w:rPr>
        <w:t>公共场所风险分类分级评估</w:t>
      </w:r>
      <w:bookmarkEnd w:id="227"/>
      <w:bookmarkEnd w:id="228"/>
      <w:bookmarkEnd w:id="229"/>
      <w:bookmarkEnd w:id="230"/>
      <w:bookmarkEnd w:id="231"/>
      <w:bookmarkEnd w:id="232"/>
      <w:bookmarkEnd w:id="233"/>
      <w:bookmarkEnd w:id="234"/>
      <w:r>
        <w:rPr>
          <w:rFonts w:hint="eastAsia"/>
        </w:rPr>
        <w:t>报告</w:t>
      </w:r>
      <w:bookmarkEnd w:id="235"/>
      <w:bookmarkEnd w:id="236"/>
      <w:bookmarkEnd w:id="237"/>
      <w:bookmarkEnd w:id="238"/>
      <w:bookmarkEnd w:id="239"/>
    </w:p>
    <w:p w14:paraId="01F34D3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风险分类分级评估目的是识别需要关注的公共场所及健康风险因素，梳理重点公共场所风险管理的重要性和优先级，确定不同公共场所差异化的风险管理制度需求。结合文献调研与公共场所健康危害因素监测项目已有实测调查数据，依据定性、定量及半定量结果研究判断重点公共场所的风险管理需求等级，将法定公共场所卫生管理需求进行分类分级为甲类、乙类、丙类公共场所。评估发现：纳入公共场所健康危害因素监测项目的宾馆、候车室、游泳场馆、沐浴场所、理发店、美容店等均为卫生风险较高的公共场所，定为甲类公共场所管理；文献调研梳理的录像厅（室）、音乐厅、展览馆、博物馆、图书馆等为中等风险场所，定为乙类公共场所管理；体育场（馆）、公园等为低风险场所，定为丙类公共场所管理。本部分研究结果形成专题研究报告（附件</w:t>
      </w:r>
      <w:r>
        <w:rPr>
          <w:rFonts w:cs="Times New Roman" w:hint="eastAsia"/>
          <w:szCs w:val="24"/>
        </w:rPr>
        <w:t>3</w:t>
      </w:r>
      <w:r>
        <w:rPr>
          <w:rFonts w:cs="Times New Roman" w:hint="eastAsia"/>
          <w:szCs w:val="24"/>
        </w:rPr>
        <w:t>）。简版报告如下。</w:t>
      </w:r>
    </w:p>
    <w:p w14:paraId="6DE6AC5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1.</w:t>
      </w:r>
      <w:r>
        <w:rPr>
          <w:rFonts w:cs="Times New Roman" w:hint="eastAsia"/>
          <w:szCs w:val="24"/>
        </w:rPr>
        <w:t>研究目的</w:t>
      </w:r>
    </w:p>
    <w:p w14:paraId="456F8D7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涵盖范围广泛，如商场、车站、影院、学校等，人员流动频繁且密集，功能多样，潜在风险复杂。为保障公众在公共场所的安全，识别需要关注的公共场所及健康风险因素，梳理重点公共场所风险管理的重要性和优先级，确定不同公共场所差异化的风险管理制度需求。</w:t>
      </w:r>
    </w:p>
    <w:p w14:paraId="639397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w:t>
      </w:r>
      <w:r>
        <w:rPr>
          <w:rFonts w:cs="Times New Roman" w:hint="eastAsia"/>
          <w:szCs w:val="24"/>
        </w:rPr>
        <w:t>研究方法</w:t>
      </w:r>
    </w:p>
    <w:p w14:paraId="30355CD0"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通过文献调研、资料查阅和实测数据分析，梳理公共场所健康危害，收集国内外公共卫生事件案例，分析公共场所健康危害因素监测项目调查数据，依据定性、定量及半定量结果判断法定公共场所健康风险，并进行分类分级。</w:t>
      </w:r>
    </w:p>
    <w:p w14:paraId="0A36708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主要结果</w:t>
      </w:r>
    </w:p>
    <w:p w14:paraId="6586CFA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）国内外文献调研结果</w:t>
      </w:r>
    </w:p>
    <w:p w14:paraId="7FD8AB0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基于公开文献调研，对万方、中国知网、</w:t>
      </w:r>
      <w:r>
        <w:rPr>
          <w:rFonts w:cs="Times New Roman" w:hint="eastAsia"/>
          <w:szCs w:val="24"/>
        </w:rPr>
        <w:t>PubMed</w:t>
      </w:r>
      <w:r>
        <w:rPr>
          <w:rFonts w:cs="Times New Roman" w:hint="eastAsia"/>
          <w:szCs w:val="24"/>
        </w:rPr>
        <w:t>等权威全文数据库进行检索，最终纳入</w:t>
      </w:r>
      <w:r>
        <w:rPr>
          <w:rFonts w:cs="Times New Roman" w:hint="eastAsia"/>
          <w:szCs w:val="24"/>
        </w:rPr>
        <w:t>120</w:t>
      </w:r>
      <w:r>
        <w:rPr>
          <w:rFonts w:cs="Times New Roman" w:hint="eastAsia"/>
          <w:szCs w:val="24"/>
        </w:rPr>
        <w:t>篇符合要求的文献。依据文献调研结果，共发现</w:t>
      </w:r>
      <w:r>
        <w:rPr>
          <w:rFonts w:cs="Times New Roman" w:hint="eastAsia"/>
          <w:szCs w:val="24"/>
        </w:rPr>
        <w:t>8</w:t>
      </w:r>
      <w:r>
        <w:rPr>
          <w:rFonts w:cs="Times New Roman" w:hint="eastAsia"/>
          <w:szCs w:val="24"/>
        </w:rPr>
        <w:t>类</w:t>
      </w:r>
      <w:r>
        <w:rPr>
          <w:rFonts w:cs="Times New Roman" w:hint="eastAsia"/>
          <w:szCs w:val="24"/>
        </w:rPr>
        <w:t>/</w:t>
      </w:r>
      <w:r>
        <w:rPr>
          <w:rFonts w:cs="Times New Roman" w:hint="eastAsia"/>
          <w:szCs w:val="24"/>
        </w:rPr>
        <w:t>种关注度较高的场所，分别是宾馆（酒店）、公共浴室、游泳场馆、理发店、美容店、商场（超市）、候诊室、候车室等卫生许可管理场所，共纳入</w:t>
      </w:r>
      <w:r>
        <w:rPr>
          <w:rFonts w:cs="Times New Roman" w:hint="eastAsia"/>
          <w:szCs w:val="24"/>
        </w:rPr>
        <w:t>106</w:t>
      </w:r>
      <w:r>
        <w:rPr>
          <w:rFonts w:cs="Times New Roman" w:hint="eastAsia"/>
          <w:szCs w:val="24"/>
        </w:rPr>
        <w:t>篇；录像厅（室）、音乐厅、展览馆、博物馆、美术馆、图书馆、书店等备案管理场所关注度较低，仅纳入</w:t>
      </w:r>
      <w:r>
        <w:rPr>
          <w:rFonts w:cs="Times New Roman" w:hint="eastAsia"/>
          <w:szCs w:val="24"/>
        </w:rPr>
        <w:t>3</w:t>
      </w:r>
      <w:r>
        <w:rPr>
          <w:rFonts w:cs="Times New Roman" w:hint="eastAsia"/>
          <w:szCs w:val="24"/>
        </w:rPr>
        <w:t>篇文献；体育场（馆）、公园等场所仅纳入</w:t>
      </w:r>
      <w:r>
        <w:rPr>
          <w:rFonts w:cs="Times New Roman" w:hint="eastAsia"/>
          <w:szCs w:val="24"/>
        </w:rPr>
        <w:t>1</w:t>
      </w:r>
      <w:r>
        <w:rPr>
          <w:rFonts w:cs="Times New Roman" w:hint="eastAsia"/>
          <w:szCs w:val="24"/>
        </w:rPr>
        <w:t>篇文献。</w:t>
      </w:r>
    </w:p>
    <w:p w14:paraId="3627282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）国内外公共卫生事件案例</w:t>
      </w:r>
    </w:p>
    <w:p w14:paraId="173D3C5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暴发公共卫生事件的案例集中在候诊室、游泳场馆、影剧院、游艺厅（室）等使用集中空调的场所；养老机构和托幼机构属于中风险场所；展览馆、博物馆、美术馆、图书馆、书店、体育场（馆）、公园等较少公共卫生事件报道。</w:t>
      </w:r>
    </w:p>
    <w:p w14:paraId="2341727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）公共场所健康危害因素监测数据</w:t>
      </w:r>
    </w:p>
    <w:p w14:paraId="20D1C97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公共场所健康危害因素监测项目聚焦于风险较高的重点场所，包括宾馆、游泳馆、沐浴场所、理发店、美容店、候车室、商场（超市）、健身房。上述场所</w:t>
      </w:r>
      <w:r>
        <w:rPr>
          <w:rFonts w:cs="Times New Roman" w:hint="eastAsia"/>
          <w:szCs w:val="24"/>
        </w:rPr>
        <w:t>PM</w:t>
      </w:r>
      <w:r>
        <w:rPr>
          <w:rFonts w:cs="Times New Roman"/>
          <w:szCs w:val="24"/>
          <w:vertAlign w:val="subscript"/>
        </w:rPr>
        <w:t>2.5</w:t>
      </w:r>
      <w:r>
        <w:rPr>
          <w:rFonts w:cs="Times New Roman" w:hint="eastAsia"/>
          <w:szCs w:val="24"/>
        </w:rPr>
        <w:t>、噪声、水质、集中空调系统是风险较高的健康危害因素，是需要重点进行卫生管理的场所要素。</w:t>
      </w:r>
    </w:p>
    <w:p w14:paraId="2B2A28C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4.</w:t>
      </w:r>
      <w:r>
        <w:rPr>
          <w:rFonts w:cs="Times New Roman" w:hint="eastAsia"/>
          <w:szCs w:val="24"/>
        </w:rPr>
        <w:t>主要结论</w:t>
      </w:r>
    </w:p>
    <w:p w14:paraId="0B6B38A2"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将法定公共场所按照风险水平进行分级分类，建议分为三类</w:t>
      </w:r>
      <w:r>
        <w:rPr>
          <w:rFonts w:cs="Times New Roman" w:hint="eastAsia"/>
          <w:szCs w:val="24"/>
        </w:rPr>
        <w:t>/</w:t>
      </w:r>
      <w:r>
        <w:rPr>
          <w:rFonts w:cs="Times New Roman" w:hint="eastAsia"/>
          <w:szCs w:val="24"/>
        </w:rPr>
        <w:t>三级场所。集中空调场所、人工游泳场所、超大型人流密集场所、公共游泳池等涉水场所等卫生许可监管场所按一类</w:t>
      </w:r>
      <w:r>
        <w:rPr>
          <w:rFonts w:cs="Times New Roman" w:hint="eastAsia"/>
          <w:szCs w:val="24"/>
        </w:rPr>
        <w:t>/</w:t>
      </w:r>
      <w:r>
        <w:rPr>
          <w:rFonts w:cs="Times New Roman" w:hint="eastAsia"/>
          <w:szCs w:val="24"/>
        </w:rPr>
        <w:t>严格级别管理，录像厅（室）、音乐厅、展览馆、博物馆、</w:t>
      </w:r>
      <w:r>
        <w:rPr>
          <w:rFonts w:cs="Times New Roman" w:hint="eastAsia"/>
          <w:szCs w:val="24"/>
        </w:rPr>
        <w:lastRenderedPageBreak/>
        <w:t>美术馆、图书馆、书店等备案管理场所按二类</w:t>
      </w:r>
      <w:r>
        <w:rPr>
          <w:rFonts w:cs="Times New Roman" w:hint="eastAsia"/>
          <w:szCs w:val="24"/>
        </w:rPr>
        <w:t>/</w:t>
      </w:r>
      <w:r>
        <w:rPr>
          <w:rFonts w:cs="Times New Roman" w:hint="eastAsia"/>
          <w:szCs w:val="24"/>
        </w:rPr>
        <w:t>中等级别管理，风险较低场所按三类</w:t>
      </w:r>
      <w:r>
        <w:rPr>
          <w:rFonts w:cs="Times New Roman" w:hint="eastAsia"/>
          <w:szCs w:val="24"/>
        </w:rPr>
        <w:t>/</w:t>
      </w:r>
      <w:r>
        <w:rPr>
          <w:rFonts w:cs="Times New Roman" w:hint="eastAsia"/>
          <w:szCs w:val="24"/>
        </w:rPr>
        <w:t>最低级别管理。</w:t>
      </w:r>
    </w:p>
    <w:p w14:paraId="2B68464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另外特别补充说明的是，公共交通工具</w:t>
      </w:r>
      <w:bookmarkStart w:id="240" w:name="OLE_LINK4"/>
      <w:r>
        <w:rPr>
          <w:rFonts w:cs="Times New Roman" w:hint="eastAsia"/>
          <w:szCs w:val="24"/>
        </w:rPr>
        <w:t>综合来看属于甲类场所</w:t>
      </w:r>
      <w:bookmarkEnd w:id="240"/>
      <w:r>
        <w:rPr>
          <w:rFonts w:cs="Times New Roman" w:hint="eastAsia"/>
          <w:szCs w:val="24"/>
        </w:rPr>
        <w:t>，但是主要在日常卫生管理和健康防护等方面实施严格要求，卫生检测方面可行性较差和卫生检测要求可适当放松；理发场所综合来看属于甲类场所，但是小型理发店占据较大比例，服务顾客人数有限，结合社会征求意见，将其纳入丙类场所进行管理。</w:t>
      </w:r>
    </w:p>
    <w:p w14:paraId="5A5C6702" w14:textId="77777777" w:rsidR="00D4394E" w:rsidRDefault="00000000">
      <w:pPr>
        <w:pStyle w:val="1"/>
        <w:spacing w:before="0" w:after="0"/>
        <w:rPr>
          <w:sz w:val="28"/>
        </w:rPr>
      </w:pPr>
      <w:bookmarkStart w:id="241" w:name="_Toc8362"/>
      <w:bookmarkStart w:id="242" w:name="_Toc31718"/>
      <w:bookmarkStart w:id="243" w:name="_Toc31699"/>
      <w:bookmarkStart w:id="244" w:name="_Toc265"/>
      <w:bookmarkStart w:id="245" w:name="_Toc3720"/>
      <w:bookmarkStart w:id="246" w:name="_Toc9524"/>
      <w:bookmarkStart w:id="247" w:name="_Toc11618"/>
      <w:bookmarkStart w:id="248" w:name="_Toc28370"/>
      <w:bookmarkStart w:id="249" w:name="_Toc5044"/>
      <w:bookmarkStart w:id="250" w:name="_Toc24736"/>
      <w:bookmarkStart w:id="251" w:name="_Toc32283"/>
      <w:bookmarkStart w:id="252" w:name="_Toc18678"/>
      <w:bookmarkStart w:id="253" w:name="_Toc18100"/>
      <w:r>
        <w:rPr>
          <w:rFonts w:hint="eastAsia"/>
          <w:sz w:val="28"/>
        </w:rPr>
        <w:t>三、与有关法律、行政法规和其他强制性国家标准的关系</w:t>
      </w:r>
      <w:bookmarkEnd w:id="241"/>
      <w:bookmarkEnd w:id="242"/>
      <w:bookmarkEnd w:id="243"/>
      <w:bookmarkEnd w:id="244"/>
      <w:bookmarkEnd w:id="245"/>
      <w:bookmarkEnd w:id="246"/>
      <w:bookmarkEnd w:id="247"/>
      <w:bookmarkEnd w:id="248"/>
      <w:r>
        <w:rPr>
          <w:rFonts w:hint="eastAsia"/>
          <w:sz w:val="28"/>
        </w:rPr>
        <w:t>，配套推荐性标准的制定情况</w:t>
      </w:r>
      <w:bookmarkEnd w:id="249"/>
      <w:bookmarkEnd w:id="250"/>
      <w:bookmarkEnd w:id="251"/>
      <w:bookmarkEnd w:id="252"/>
      <w:bookmarkEnd w:id="253"/>
    </w:p>
    <w:p w14:paraId="25E89C6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本标准作为强制性国家标准，编写格式依据《标准化工作导则第</w:t>
      </w:r>
      <w:r>
        <w:rPr>
          <w:rFonts w:cs="Times New Roman" w:hint="eastAsia"/>
          <w:szCs w:val="24"/>
        </w:rPr>
        <w:t>1</w:t>
      </w:r>
      <w:r>
        <w:rPr>
          <w:rFonts w:cs="Times New Roman" w:hint="eastAsia"/>
          <w:szCs w:val="24"/>
        </w:rPr>
        <w:t>部分：标准化文件的结构和起草规则》（</w:t>
      </w:r>
      <w:r>
        <w:rPr>
          <w:rFonts w:cs="Times New Roman" w:hint="eastAsia"/>
          <w:szCs w:val="24"/>
        </w:rPr>
        <w:t>GB/T</w:t>
      </w:r>
      <w:r>
        <w:rPr>
          <w:rFonts w:cs="Times New Roman"/>
          <w:szCs w:val="24"/>
        </w:rPr>
        <w:t xml:space="preserve"> </w:t>
      </w:r>
      <w:r>
        <w:rPr>
          <w:rFonts w:cs="Times New Roman" w:hint="eastAsia"/>
          <w:szCs w:val="24"/>
        </w:rPr>
        <w:t>1.1</w:t>
      </w:r>
      <w:r>
        <w:rPr>
          <w:rFonts w:cs="Times New Roman" w:hint="eastAsia"/>
          <w:szCs w:val="24"/>
        </w:rPr>
        <w:t>—</w:t>
      </w:r>
      <w:r>
        <w:rPr>
          <w:rFonts w:cs="Times New Roman" w:hint="eastAsia"/>
          <w:szCs w:val="24"/>
        </w:rPr>
        <w:t>2020</w:t>
      </w:r>
      <w:r>
        <w:rPr>
          <w:rFonts w:cs="Times New Roman" w:hint="eastAsia"/>
          <w:szCs w:val="24"/>
        </w:rPr>
        <w:t>）给出的规则编写。</w:t>
      </w:r>
    </w:p>
    <w:p w14:paraId="67C6069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与本标准有关的法律主要是《中华人民共和国传染病防治法》《公共场所卫生管理条例》和《公共场所卫生管理条例实施细则》。《中华人民共和国传染病防治法》（</w:t>
      </w:r>
      <w:r>
        <w:rPr>
          <w:rFonts w:cs="Times New Roman" w:hint="eastAsia"/>
          <w:szCs w:val="24"/>
        </w:rPr>
        <w:t>2025</w:t>
      </w:r>
      <w:r>
        <w:rPr>
          <w:rFonts w:cs="Times New Roman" w:hint="eastAsia"/>
          <w:szCs w:val="24"/>
        </w:rPr>
        <w:t>）第二十五条、第二十九条、第三十条等规定各级疾病预防控制机构在传染病预防、控制中应履行指导重点场所开展传染病预防、控制工作；体育场馆、监管场所、车站、港口、机场等重点场所，应当制定本单位传染病预防控制应急预案并开展演练。上述条款对公共场所传染病防控提出了具体的要求。国务院颁布实施的《公共场所卫生管理条例》（</w:t>
      </w:r>
      <w:r>
        <w:rPr>
          <w:rFonts w:cs="Times New Roman" w:hint="eastAsia"/>
          <w:szCs w:val="24"/>
        </w:rPr>
        <w:t>2024</w:t>
      </w:r>
      <w:r>
        <w:rPr>
          <w:rFonts w:cs="Times New Roman" w:hint="eastAsia"/>
          <w:szCs w:val="24"/>
        </w:rPr>
        <w:t>）规定：公共场所的空气、水质、采光照明、噪声、顾客用具和卫生设施应符合国家卫生标准和要求；除公园、体育场（馆）、公共交通工具和本条第二款规定的实行卫生备案管理的公共场所外，经营单位应当在营业前向设区的市级、县级人民政府疾病预防控制部门申请办理“卫生许可证”。录像厅（室）、音乐厅、展览馆、博物馆、美术馆、图书馆、书店的经营单位应当在营业之日起</w:t>
      </w:r>
      <w:r>
        <w:rPr>
          <w:rFonts w:cs="Times New Roman" w:hint="eastAsia"/>
          <w:szCs w:val="24"/>
        </w:rPr>
        <w:t>30</w:t>
      </w:r>
      <w:r>
        <w:rPr>
          <w:rFonts w:cs="Times New Roman" w:hint="eastAsia"/>
          <w:szCs w:val="24"/>
        </w:rPr>
        <w:t>天内向设区的市级、县级人民政府疾病预防控制部门办理卫生备案。本标准是为公共场所卫生管理监督提供技术手段，为贯彻实施上述国家法律法规提供技术支撑。</w:t>
      </w:r>
    </w:p>
    <w:p w14:paraId="32F7DED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本标准是公共场所系列国家标准之一，与《公共场所卫生管理规范》（</w:t>
      </w:r>
      <w:r>
        <w:rPr>
          <w:rFonts w:cs="Times New Roman" w:hint="eastAsia"/>
          <w:szCs w:val="24"/>
        </w:rPr>
        <w:t>GB</w:t>
      </w:r>
      <w:r>
        <w:rPr>
          <w:rFonts w:cs="Times New Roman"/>
          <w:szCs w:val="24"/>
        </w:rPr>
        <w:t xml:space="preserve"> </w:t>
      </w:r>
      <w:r>
        <w:rPr>
          <w:rFonts w:cs="Times New Roman" w:hint="eastAsia"/>
          <w:szCs w:val="24"/>
        </w:rPr>
        <w:t>37487-2019</w:t>
      </w:r>
      <w:r>
        <w:rPr>
          <w:rFonts w:cs="Times New Roman" w:hint="eastAsia"/>
          <w:szCs w:val="24"/>
        </w:rPr>
        <w:t>）、《公共场所卫生指标及限值要求》（</w:t>
      </w:r>
      <w:r>
        <w:rPr>
          <w:rFonts w:cs="Times New Roman" w:hint="eastAsia"/>
          <w:szCs w:val="24"/>
        </w:rPr>
        <w:t>GB</w:t>
      </w:r>
      <w:r>
        <w:rPr>
          <w:rFonts w:cs="Times New Roman"/>
          <w:szCs w:val="24"/>
        </w:rPr>
        <w:t xml:space="preserve"> </w:t>
      </w:r>
      <w:r>
        <w:rPr>
          <w:rFonts w:cs="Times New Roman" w:hint="eastAsia"/>
          <w:szCs w:val="24"/>
        </w:rPr>
        <w:t>37488-2019</w:t>
      </w:r>
      <w:r>
        <w:rPr>
          <w:rFonts w:cs="Times New Roman" w:hint="eastAsia"/>
          <w:szCs w:val="24"/>
        </w:rPr>
        <w:t>）、《公共场所设计卫生规范》（</w:t>
      </w:r>
      <w:r>
        <w:rPr>
          <w:rFonts w:cs="Times New Roman" w:hint="eastAsia"/>
          <w:szCs w:val="24"/>
        </w:rPr>
        <w:t>GB</w:t>
      </w:r>
      <w:r>
        <w:rPr>
          <w:rFonts w:cs="Times New Roman"/>
          <w:szCs w:val="24"/>
        </w:rPr>
        <w:t xml:space="preserve"> </w:t>
      </w:r>
      <w:r>
        <w:rPr>
          <w:rFonts w:cs="Times New Roman" w:hint="eastAsia"/>
          <w:szCs w:val="24"/>
        </w:rPr>
        <w:t>37489-2019</w:t>
      </w:r>
      <w:r>
        <w:rPr>
          <w:rFonts w:cs="Times New Roman" w:hint="eastAsia"/>
          <w:szCs w:val="24"/>
        </w:rPr>
        <w:t>）强制性国家标准相配套，是开展公共场所卫生管理必须遵循的标准方法。</w:t>
      </w:r>
    </w:p>
    <w:p w14:paraId="6A2DC8D5"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本标准配套推荐性标准有《公共场所卫生检验方法》（</w:t>
      </w:r>
      <w:r>
        <w:rPr>
          <w:rFonts w:cs="Times New Roman" w:hint="eastAsia"/>
          <w:szCs w:val="24"/>
        </w:rPr>
        <w:t>GB/T 18204-2025</w:t>
      </w:r>
      <w:r>
        <w:rPr>
          <w:rFonts w:cs="Times New Roman" w:hint="eastAsia"/>
          <w:szCs w:val="24"/>
        </w:rPr>
        <w:t>）和《公共场所卫生学评价规范》（</w:t>
      </w:r>
      <w:r>
        <w:rPr>
          <w:rFonts w:cs="Times New Roman" w:hint="eastAsia"/>
          <w:szCs w:val="24"/>
        </w:rPr>
        <w:t>GB/T</w:t>
      </w:r>
      <w:r>
        <w:rPr>
          <w:rFonts w:cs="Times New Roman"/>
          <w:szCs w:val="24"/>
        </w:rPr>
        <w:t xml:space="preserve"> </w:t>
      </w:r>
      <w:r>
        <w:rPr>
          <w:rFonts w:cs="Times New Roman" w:hint="eastAsia"/>
          <w:szCs w:val="24"/>
        </w:rPr>
        <w:t>37678-2019</w:t>
      </w:r>
      <w:r>
        <w:rPr>
          <w:rFonts w:cs="Times New Roman" w:hint="eastAsia"/>
          <w:szCs w:val="24"/>
        </w:rPr>
        <w:t>），其中《公共场所卫生检验方法》于</w:t>
      </w:r>
      <w:r>
        <w:rPr>
          <w:rFonts w:cs="Times New Roman" w:hint="eastAsia"/>
          <w:szCs w:val="24"/>
        </w:rPr>
        <w:t>2025</w:t>
      </w:r>
      <w:r>
        <w:rPr>
          <w:rFonts w:cs="Times New Roman" w:hint="eastAsia"/>
          <w:szCs w:val="24"/>
        </w:rPr>
        <w:t>年修订后发布实施，《公共场所卫生学评价规范》正在同步修订中。</w:t>
      </w:r>
    </w:p>
    <w:p w14:paraId="797E7994"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本标准中的卫生管理要求均为目前公共场所通用的管理要求，与世界卫生组（</w:t>
      </w:r>
      <w:r>
        <w:rPr>
          <w:rFonts w:cs="Times New Roman" w:hint="eastAsia"/>
          <w:szCs w:val="24"/>
        </w:rPr>
        <w:t>WHO</w:t>
      </w:r>
      <w:r>
        <w:rPr>
          <w:rFonts w:cs="Times New Roman" w:hint="eastAsia"/>
          <w:szCs w:val="24"/>
        </w:rPr>
        <w:t>）、欧盟、美国等其他相近国家标准方法无矛盾之处，与国内相关指引性文件等做到内容协调一致。</w:t>
      </w:r>
    </w:p>
    <w:p w14:paraId="040B19AE" w14:textId="77777777" w:rsidR="00D4394E" w:rsidRDefault="00D4394E">
      <w:pPr>
        <w:adjustRightInd w:val="0"/>
        <w:snapToGrid w:val="0"/>
        <w:spacing w:line="240" w:lineRule="auto"/>
        <w:ind w:firstLineChars="200" w:firstLine="480"/>
        <w:rPr>
          <w:rFonts w:cs="Times New Roman"/>
          <w:szCs w:val="24"/>
        </w:rPr>
      </w:pPr>
    </w:p>
    <w:p w14:paraId="38E4E5E1" w14:textId="77777777" w:rsidR="00D4394E" w:rsidRDefault="00000000">
      <w:pPr>
        <w:pStyle w:val="1"/>
        <w:spacing w:before="0" w:after="0"/>
        <w:rPr>
          <w:sz w:val="28"/>
        </w:rPr>
      </w:pPr>
      <w:bookmarkStart w:id="254" w:name="_Toc15947"/>
      <w:bookmarkStart w:id="255" w:name="_Toc11506"/>
      <w:bookmarkStart w:id="256" w:name="_Toc14215"/>
      <w:bookmarkStart w:id="257" w:name="_Toc19690"/>
      <w:bookmarkStart w:id="258" w:name="_Toc22348"/>
      <w:bookmarkStart w:id="259" w:name="_Toc18943"/>
      <w:bookmarkStart w:id="260" w:name="_Toc7826"/>
      <w:bookmarkStart w:id="261" w:name="_Toc69553237"/>
      <w:bookmarkStart w:id="262" w:name="_Toc8260"/>
      <w:bookmarkStart w:id="263" w:name="_Toc10252"/>
      <w:bookmarkStart w:id="264" w:name="_Toc9803"/>
      <w:bookmarkStart w:id="265" w:name="_Toc4442"/>
      <w:bookmarkStart w:id="266" w:name="_Toc28477"/>
      <w:bookmarkStart w:id="267" w:name="_Toc27951"/>
      <w:bookmarkStart w:id="268" w:name="_Toc93656995"/>
      <w:bookmarkStart w:id="269" w:name="_Toc67407050"/>
      <w:r>
        <w:rPr>
          <w:rFonts w:hint="eastAsia"/>
          <w:sz w:val="28"/>
        </w:rPr>
        <w:t>四、与国际标准化组织、其他国家或者地区有关法律法规和标准的比对分析</w:t>
      </w:r>
      <w:bookmarkEnd w:id="254"/>
      <w:bookmarkEnd w:id="255"/>
      <w:bookmarkEnd w:id="256"/>
      <w:bookmarkEnd w:id="257"/>
      <w:bookmarkEnd w:id="258"/>
    </w:p>
    <w:p w14:paraId="4053AF05" w14:textId="77777777" w:rsidR="00D4394E" w:rsidRDefault="00000000">
      <w:pPr>
        <w:adjustRightInd w:val="0"/>
        <w:snapToGrid w:val="0"/>
        <w:spacing w:line="240" w:lineRule="auto"/>
        <w:ind w:firstLineChars="200" w:firstLine="480"/>
        <w:rPr>
          <w:rFonts w:cs="Times New Roman"/>
          <w:szCs w:val="24"/>
        </w:rPr>
      </w:pPr>
      <w:bookmarkStart w:id="270" w:name="_Toc7417"/>
      <w:r>
        <w:rPr>
          <w:szCs w:val="24"/>
        </w:rPr>
        <w:t>通过对</w:t>
      </w:r>
      <w:r>
        <w:rPr>
          <w:szCs w:val="24"/>
        </w:rPr>
        <w:t>66</w:t>
      </w:r>
      <w:r>
        <w:rPr>
          <w:szCs w:val="24"/>
        </w:rPr>
        <w:t>个国内外相关官网和科研数据库进行文献回顾，收集公共场所卫生管理方面的法律法规、标准指南类文件，共收集到</w:t>
      </w:r>
      <w:r>
        <w:rPr>
          <w:szCs w:val="24"/>
        </w:rPr>
        <w:t>WHO</w:t>
      </w:r>
      <w:r>
        <w:rPr>
          <w:szCs w:val="24"/>
        </w:rPr>
        <w:t>、欧盟、美国、俄罗斯、加拿大、澳大利亚、新加坡、英国、法国、西班牙、意大利、新西兰、越南、</w:t>
      </w:r>
      <w:r>
        <w:rPr>
          <w:szCs w:val="24"/>
        </w:rPr>
        <w:lastRenderedPageBreak/>
        <w:t>巴基斯坦、印度等发布的相关文件。各国发布的场所各有侧重，以宾馆酒店、娱乐游泳场所、商场超市等重点场所为主。另外，国外对于公共场所没有统一监管，多聚焦重点场所、重点介质、重点健康危害因素和行为管理。以下从重点公共场所场所管理和重点健康危害因素管理两个方面，比较国内外法律法规和标准的差异。</w:t>
      </w:r>
      <w:bookmarkEnd w:id="259"/>
      <w:bookmarkEnd w:id="260"/>
      <w:bookmarkEnd w:id="261"/>
      <w:bookmarkEnd w:id="262"/>
      <w:bookmarkEnd w:id="263"/>
      <w:bookmarkEnd w:id="264"/>
      <w:bookmarkEnd w:id="265"/>
      <w:bookmarkEnd w:id="266"/>
      <w:bookmarkEnd w:id="267"/>
      <w:bookmarkEnd w:id="268"/>
      <w:bookmarkEnd w:id="269"/>
      <w:bookmarkEnd w:id="270"/>
    </w:p>
    <w:p w14:paraId="656E3B31" w14:textId="77777777" w:rsidR="00D4394E" w:rsidRDefault="00000000">
      <w:pPr>
        <w:pStyle w:val="2"/>
        <w:spacing w:before="156" w:after="156"/>
        <w:ind w:firstLine="482"/>
      </w:pPr>
      <w:bookmarkStart w:id="271" w:name="_Toc17680"/>
      <w:bookmarkStart w:id="272" w:name="_Toc822"/>
      <w:bookmarkStart w:id="273" w:name="_Toc19236"/>
      <w:bookmarkStart w:id="274" w:name="_Toc29009"/>
      <w:bookmarkStart w:id="275" w:name="_Toc14886"/>
      <w:bookmarkStart w:id="276" w:name="_Toc1903"/>
      <w:bookmarkStart w:id="277" w:name="_Toc32123"/>
      <w:bookmarkStart w:id="278" w:name="_Toc25159"/>
      <w:bookmarkStart w:id="279" w:name="_Toc6099"/>
      <w:bookmarkStart w:id="280" w:name="_Toc6507"/>
      <w:bookmarkStart w:id="281" w:name="_Toc21480"/>
      <w:bookmarkStart w:id="282" w:name="_Toc21604"/>
      <w:bookmarkStart w:id="283" w:name="_Toc2428"/>
      <w:r>
        <w:rPr>
          <w:rFonts w:hint="eastAsia"/>
        </w:rPr>
        <w:t>（一）重点场所卫生管理要求</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50E1A19D"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国外公共场所法规标准呈现：针对特定场所、属地管理为主、侧重行业自律的特点。</w:t>
      </w:r>
    </w:p>
    <w:p w14:paraId="7B01E39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1.</w:t>
      </w:r>
      <w:r>
        <w:rPr>
          <w:rFonts w:cs="Times New Roman" w:hint="eastAsia"/>
          <w:szCs w:val="24"/>
        </w:rPr>
        <w:t>针对特定场所。国外没有公共场所概念，较少制定关于公共场所卫生相关的统一的标准规范。但各国针对某类公共场所，如娱乐用游泳池、沐浴水疗、</w:t>
      </w:r>
      <w:r>
        <w:rPr>
          <w:rFonts w:hint="eastAsia"/>
        </w:rPr>
        <w:t>图书馆、博物馆、</w:t>
      </w:r>
      <w:r>
        <w:rPr>
          <w:rFonts w:cs="Times New Roman" w:hint="eastAsia"/>
          <w:szCs w:val="24"/>
        </w:rPr>
        <w:t>展览馆、录象厅、公共交通工具、商场超市、疗养护理机构、公共卫生间、美发沙龙、户外游乐场等，分别制定了与该场所相关的标准指南。上述标准指南涉及室内空气、水质、噪声、照度、微生物等多类健康相关因素。我国目前采用公共场所统一管理的模式，对不同场所未进行分级分类管理。</w:t>
      </w:r>
    </w:p>
    <w:p w14:paraId="1284223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2.</w:t>
      </w:r>
      <w:r>
        <w:rPr>
          <w:rFonts w:cs="Times New Roman" w:hint="eastAsia"/>
          <w:szCs w:val="24"/>
        </w:rPr>
        <w:t>属地管理为主。虽然国外未针对公共场所制定统一的标准</w:t>
      </w:r>
      <w:r>
        <w:rPr>
          <w:rFonts w:cs="Times New Roman" w:hint="eastAsia"/>
          <w:szCs w:val="24"/>
        </w:rPr>
        <w:t>,</w:t>
      </w:r>
      <w:r>
        <w:rPr>
          <w:rFonts w:cs="Times New Roman" w:hint="eastAsia"/>
          <w:szCs w:val="24"/>
        </w:rPr>
        <w:t>但在各国、省、州层面会依据自身需求制定相关标准法规。例如美国各州会制定各自的某类场所卫生管理标准，欧盟各国的标准也大多基于欧盟的标准制定，美国通过多部门协作开展军团菌全链条卫生管理等。我国部分省份如江苏省也制定了各自的卫生管理要求。</w:t>
      </w:r>
    </w:p>
    <w:p w14:paraId="72219196"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侧重行业自律。国外依赖于行业协会的力量，提出对酒店设计、设备和维护的卫生要求，强调行业自律。欧盟制订了较为严格的酒店的星级评定标准，考核指标包括室内空气质量、公共用品用具等几百项不同标准，星级评定设计了详细的评分标准，如房间打扫、个人用品清洁卫生、清洁员工洗涤以及消毒标准等，这些标准从另一方面对场所卫生管理提出了统一的要求。我国行业协会对于公共场所卫生管理方面尚存在不足。</w:t>
      </w:r>
    </w:p>
    <w:p w14:paraId="0CDB2021" w14:textId="77777777" w:rsidR="00D4394E" w:rsidRDefault="00000000">
      <w:pPr>
        <w:pStyle w:val="2"/>
        <w:adjustRightInd w:val="0"/>
        <w:snapToGrid w:val="0"/>
        <w:spacing w:before="156" w:after="156"/>
        <w:ind w:firstLine="482"/>
      </w:pPr>
      <w:bookmarkStart w:id="284" w:name="_Toc3347"/>
      <w:bookmarkStart w:id="285" w:name="_Toc32601"/>
      <w:bookmarkStart w:id="286" w:name="_Toc10431"/>
      <w:bookmarkStart w:id="287" w:name="_Toc17744"/>
      <w:bookmarkStart w:id="288" w:name="_Toc26821"/>
      <w:r>
        <w:rPr>
          <w:rFonts w:hint="eastAsia"/>
        </w:rPr>
        <w:t>（二）重点健康危害因素管理要求</w:t>
      </w:r>
      <w:bookmarkEnd w:id="284"/>
      <w:bookmarkEnd w:id="285"/>
      <w:bookmarkEnd w:id="286"/>
      <w:bookmarkEnd w:id="287"/>
      <w:bookmarkEnd w:id="288"/>
    </w:p>
    <w:p w14:paraId="4D6C568C"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国外针对烟草管理、室内空气质量、水质、噪声等均提出统一的要求，以上述因素为例简述如下。</w:t>
      </w:r>
    </w:p>
    <w:p w14:paraId="50411A6A"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1.</w:t>
      </w:r>
      <w:r>
        <w:rPr>
          <w:rFonts w:cs="Times New Roman" w:hint="eastAsia"/>
          <w:szCs w:val="24"/>
        </w:rPr>
        <w:t>禁烟管理。</w:t>
      </w:r>
      <w:r>
        <w:rPr>
          <w:rFonts w:cs="Times New Roman" w:hint="eastAsia"/>
          <w:szCs w:val="24"/>
        </w:rPr>
        <w:t>WHO</w:t>
      </w:r>
      <w:r>
        <w:rPr>
          <w:rFonts w:cs="Times New Roman" w:hint="eastAsia"/>
          <w:szCs w:val="24"/>
        </w:rPr>
        <w:t>、澳大利亚、新加坡等多个国家</w:t>
      </w:r>
      <w:r>
        <w:rPr>
          <w:rFonts w:cs="Times New Roman" w:hint="eastAsia"/>
          <w:szCs w:val="24"/>
        </w:rPr>
        <w:t>/</w:t>
      </w:r>
      <w:r>
        <w:rPr>
          <w:rFonts w:cs="Times New Roman" w:hint="eastAsia"/>
          <w:szCs w:val="24"/>
        </w:rPr>
        <w:t>组织针对室内公共场所烟草烟雾发布了相关法律，大多为公共场所禁烟。我国在《公共场所卫生管理条例实施细则》和本标准中明确提出室内公共场所禁止吸烟，禁烟管理应符合国家相关法律法规的规定。</w:t>
      </w:r>
    </w:p>
    <w:p w14:paraId="6C9F4160" w14:textId="77777777" w:rsidR="00D4394E" w:rsidRDefault="00000000">
      <w:pPr>
        <w:adjustRightInd w:val="0"/>
        <w:snapToGrid w:val="0"/>
        <w:spacing w:line="240" w:lineRule="auto"/>
        <w:ind w:firstLineChars="200" w:firstLine="480"/>
        <w:rPr>
          <w:rFonts w:cs="Times New Roman"/>
          <w:szCs w:val="24"/>
        </w:rPr>
      </w:pPr>
      <w:r>
        <w:rPr>
          <w:rFonts w:cs="Times New Roman"/>
          <w:szCs w:val="24"/>
        </w:rPr>
        <w:t>2.</w:t>
      </w:r>
      <w:r>
        <w:rPr>
          <w:rFonts w:cs="Times New Roman" w:hint="eastAsia"/>
          <w:szCs w:val="24"/>
        </w:rPr>
        <w:t>室内空气。各国及国际组织对于公共建筑均发布了统一的室内空气要求，包括温度、湿度、细颗粒物、一氧化碳、二氧化碳、氮氧化物（</w:t>
      </w:r>
      <w:r>
        <w:rPr>
          <w:rFonts w:cs="Times New Roman" w:hint="eastAsia"/>
          <w:szCs w:val="24"/>
        </w:rPr>
        <w:t>NOx</w:t>
      </w:r>
      <w:r>
        <w:rPr>
          <w:rFonts w:cs="Times New Roman" w:hint="eastAsia"/>
          <w:szCs w:val="24"/>
        </w:rPr>
        <w:t>）、多环芳烃（</w:t>
      </w:r>
      <w:r>
        <w:rPr>
          <w:rFonts w:cs="Times New Roman" w:hint="eastAsia"/>
          <w:szCs w:val="24"/>
        </w:rPr>
        <w:t>PAH</w:t>
      </w:r>
      <w:r>
        <w:rPr>
          <w:rFonts w:cs="Times New Roman" w:hint="eastAsia"/>
          <w:szCs w:val="24"/>
        </w:rPr>
        <w:t>）、挥发性有机化合物（</w:t>
      </w:r>
      <w:r>
        <w:rPr>
          <w:rFonts w:cs="Times New Roman" w:hint="eastAsia"/>
          <w:szCs w:val="24"/>
        </w:rPr>
        <w:t>VOC</w:t>
      </w:r>
      <w:r>
        <w:rPr>
          <w:rFonts w:cs="Times New Roman" w:hint="eastAsia"/>
          <w:szCs w:val="24"/>
        </w:rPr>
        <w:t>）等常规因素，还包括针对某类场所如美甲沙龙特定的化学污染物，如丙酮、乙腈、乙酸丁酯、邻苯二甲酸二丁酯、乙酸乙酯、甲基丙烯酸乙酯、甲醛、乙酸异丙酯、季铵化合物、甲苯等。我国目前所涉及的室内空气指标具有一定的普适性，较少针对特定公共场所的特异性指标。</w:t>
      </w:r>
    </w:p>
    <w:p w14:paraId="349BFD28"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3.</w:t>
      </w:r>
      <w:r>
        <w:rPr>
          <w:rFonts w:cs="Times New Roman" w:hint="eastAsia"/>
          <w:szCs w:val="24"/>
        </w:rPr>
        <w:t>水质。游泳等涉水场所是国外较为关注的一类场所，多个国家针对娱乐用游泳池、水上乐园和类似水环境场所发布了法规标准。涉及介质有水、空气、场所内设备设施等，涉及指标有透明度、水温、挥发性消毒副产物、消毒剂、全氟</w:t>
      </w:r>
      <w:r>
        <w:rPr>
          <w:rFonts w:cs="Times New Roman" w:hint="eastAsia"/>
          <w:szCs w:val="24"/>
        </w:rPr>
        <w:lastRenderedPageBreak/>
        <w:t>烷基、重金属、稳定剂、藻类、军团菌、肠道球菌等物理、化学、微生物指标以及意外伤害等。与国外标准相比，我国生活饮用水和涉水场所监测因素较少。。</w:t>
      </w:r>
    </w:p>
    <w:p w14:paraId="5F4BB5FB"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4.</w:t>
      </w:r>
      <w:r>
        <w:rPr>
          <w:rFonts w:cs="Times New Roman" w:hint="eastAsia"/>
          <w:szCs w:val="24"/>
        </w:rPr>
        <w:t>噪声。国外对于住宿场所、餐饮服务场所、商场超市、公共卫生间等发布的法律指南均涉及到室内噪声、空调和机械通风系统噪声、道路交通噪音等，以及室外铁路噪音、飞机噪音、风力涡轮机噪音、休闲噪音等，并提出了基于健康风险的严格暴露限值建议。我国对于公共场所噪声也提出了应满足国家标准的卫生管理要求。</w:t>
      </w:r>
    </w:p>
    <w:p w14:paraId="76913ED7" w14:textId="77777777" w:rsidR="00D4394E" w:rsidRDefault="00000000">
      <w:pPr>
        <w:pStyle w:val="aff2"/>
        <w:spacing w:before="156" w:after="156"/>
        <w:rPr>
          <w:rFonts w:ascii="仿宋" w:eastAsia="仿宋" w:hAnsi="仿宋" w:cs="仿宋" w:hint="eastAsia"/>
          <w:sz w:val="24"/>
          <w:szCs w:val="24"/>
        </w:rPr>
      </w:pPr>
      <w:r>
        <w:rPr>
          <w:rFonts w:ascii="仿宋" w:eastAsia="仿宋" w:hAnsi="仿宋" w:cs="仿宋" w:hint="eastAsia"/>
          <w:sz w:val="24"/>
          <w:szCs w:val="24"/>
        </w:rPr>
        <w:t>表</w:t>
      </w:r>
      <w:r>
        <w:rPr>
          <w:rFonts w:ascii="仿宋" w:eastAsia="仿宋" w:hAnsi="仿宋" w:cs="仿宋"/>
          <w:sz w:val="24"/>
          <w:szCs w:val="24"/>
        </w:rPr>
        <w:t xml:space="preserve">2  </w:t>
      </w:r>
      <w:r>
        <w:rPr>
          <w:rFonts w:ascii="仿宋" w:eastAsia="仿宋" w:hAnsi="仿宋" w:cs="仿宋" w:hint="eastAsia"/>
          <w:sz w:val="24"/>
          <w:szCs w:val="24"/>
        </w:rPr>
        <w:t>国内外重点公共场所卫生管理要求文件</w:t>
      </w:r>
    </w:p>
    <w:tbl>
      <w:tblPr>
        <w:tblpPr w:leftFromText="180" w:rightFromText="180" w:vertAnchor="text" w:horzAnchor="page" w:tblpX="1874" w:tblpY="31"/>
        <w:tblOverlap w:val="never"/>
        <w:tblW w:w="487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30"/>
        <w:gridCol w:w="976"/>
        <w:gridCol w:w="2622"/>
        <w:gridCol w:w="3954"/>
      </w:tblGrid>
      <w:tr w:rsidR="00D4394E" w14:paraId="20AB5340" w14:textId="77777777">
        <w:trPr>
          <w:trHeight w:val="113"/>
        </w:trPr>
        <w:tc>
          <w:tcPr>
            <w:tcW w:w="328" w:type="pct"/>
            <w:tcMar>
              <w:left w:w="0" w:type="dxa"/>
              <w:right w:w="0" w:type="dxa"/>
            </w:tcMar>
            <w:vAlign w:val="center"/>
          </w:tcPr>
          <w:p w14:paraId="3D24A415" w14:textId="77777777" w:rsidR="00D4394E" w:rsidRDefault="00000000">
            <w:pPr>
              <w:pStyle w:val="aff3"/>
              <w:rPr>
                <w:rFonts w:ascii="Times New Roman" w:eastAsia="仿宋"/>
                <w:sz w:val="21"/>
                <w:szCs w:val="21"/>
              </w:rPr>
            </w:pPr>
            <w:r>
              <w:rPr>
                <w:rFonts w:ascii="Times New Roman" w:eastAsia="仿宋"/>
                <w:sz w:val="21"/>
                <w:szCs w:val="21"/>
              </w:rPr>
              <w:t>序号</w:t>
            </w:r>
          </w:p>
        </w:tc>
        <w:tc>
          <w:tcPr>
            <w:tcW w:w="604" w:type="pct"/>
            <w:tcMar>
              <w:left w:w="0" w:type="dxa"/>
              <w:right w:w="0" w:type="dxa"/>
            </w:tcMar>
            <w:vAlign w:val="center"/>
          </w:tcPr>
          <w:p w14:paraId="41B79BB6" w14:textId="77777777" w:rsidR="00D4394E" w:rsidRDefault="00000000">
            <w:pPr>
              <w:pStyle w:val="aff3"/>
              <w:rPr>
                <w:rFonts w:ascii="Times New Roman" w:eastAsia="仿宋"/>
                <w:sz w:val="21"/>
                <w:szCs w:val="21"/>
              </w:rPr>
            </w:pPr>
            <w:r>
              <w:rPr>
                <w:rFonts w:ascii="Times New Roman" w:eastAsia="仿宋"/>
                <w:sz w:val="21"/>
                <w:szCs w:val="21"/>
              </w:rPr>
              <w:t>场所</w:t>
            </w:r>
            <w:r>
              <w:rPr>
                <w:rFonts w:ascii="Times New Roman" w:eastAsia="仿宋" w:hint="eastAsia"/>
                <w:sz w:val="21"/>
                <w:szCs w:val="21"/>
              </w:rPr>
              <w:t>要素</w:t>
            </w:r>
          </w:p>
        </w:tc>
        <w:tc>
          <w:tcPr>
            <w:tcW w:w="1621" w:type="pct"/>
            <w:tcMar>
              <w:left w:w="0" w:type="dxa"/>
              <w:right w:w="0" w:type="dxa"/>
            </w:tcMar>
            <w:vAlign w:val="center"/>
          </w:tcPr>
          <w:p w14:paraId="3BDD660A" w14:textId="77777777" w:rsidR="00D4394E" w:rsidRDefault="00000000">
            <w:pPr>
              <w:pStyle w:val="aff3"/>
              <w:rPr>
                <w:rFonts w:ascii="Times New Roman" w:eastAsia="仿宋"/>
                <w:sz w:val="21"/>
                <w:szCs w:val="21"/>
              </w:rPr>
            </w:pPr>
            <w:r>
              <w:rPr>
                <w:rFonts w:ascii="Times New Roman" w:eastAsia="仿宋"/>
                <w:sz w:val="21"/>
                <w:szCs w:val="21"/>
              </w:rPr>
              <w:t>来源</w:t>
            </w:r>
          </w:p>
        </w:tc>
        <w:tc>
          <w:tcPr>
            <w:tcW w:w="2445" w:type="pct"/>
            <w:tcMar>
              <w:left w:w="0" w:type="dxa"/>
              <w:right w:w="0" w:type="dxa"/>
            </w:tcMar>
            <w:vAlign w:val="center"/>
          </w:tcPr>
          <w:p w14:paraId="37A06E11" w14:textId="77777777" w:rsidR="00D4394E" w:rsidRDefault="00000000">
            <w:pPr>
              <w:pStyle w:val="aff3"/>
              <w:rPr>
                <w:rFonts w:ascii="Times New Roman" w:eastAsia="仿宋"/>
                <w:sz w:val="21"/>
                <w:szCs w:val="21"/>
              </w:rPr>
            </w:pPr>
            <w:r>
              <w:rPr>
                <w:rFonts w:ascii="Times New Roman" w:eastAsia="仿宋"/>
                <w:sz w:val="21"/>
                <w:szCs w:val="21"/>
              </w:rPr>
              <w:t>技术文件</w:t>
            </w:r>
          </w:p>
        </w:tc>
      </w:tr>
      <w:tr w:rsidR="00D4394E" w14:paraId="6B8E80A7" w14:textId="77777777">
        <w:trPr>
          <w:trHeight w:val="113"/>
        </w:trPr>
        <w:tc>
          <w:tcPr>
            <w:tcW w:w="328" w:type="pct"/>
            <w:tcMar>
              <w:left w:w="0" w:type="dxa"/>
              <w:right w:w="0" w:type="dxa"/>
            </w:tcMar>
            <w:vAlign w:val="center"/>
          </w:tcPr>
          <w:p w14:paraId="67A58641" w14:textId="77777777" w:rsidR="00D4394E" w:rsidRDefault="00000000">
            <w:pPr>
              <w:pStyle w:val="aff3"/>
              <w:rPr>
                <w:rFonts w:ascii="Times New Roman" w:eastAsia="仿宋"/>
                <w:sz w:val="21"/>
                <w:szCs w:val="21"/>
              </w:rPr>
            </w:pPr>
            <w:r>
              <w:rPr>
                <w:rFonts w:ascii="Times New Roman" w:eastAsia="仿宋"/>
                <w:sz w:val="21"/>
                <w:szCs w:val="21"/>
              </w:rPr>
              <w:t>1</w:t>
            </w:r>
          </w:p>
        </w:tc>
        <w:tc>
          <w:tcPr>
            <w:tcW w:w="604" w:type="pct"/>
            <w:tcMar>
              <w:left w:w="0" w:type="dxa"/>
              <w:right w:w="0" w:type="dxa"/>
            </w:tcMar>
            <w:vAlign w:val="center"/>
          </w:tcPr>
          <w:p w14:paraId="541C5ACE" w14:textId="77777777" w:rsidR="00D4394E" w:rsidRDefault="00000000">
            <w:pPr>
              <w:pStyle w:val="aff3"/>
              <w:rPr>
                <w:rFonts w:ascii="Times New Roman" w:eastAsia="仿宋"/>
                <w:sz w:val="21"/>
                <w:szCs w:val="21"/>
              </w:rPr>
            </w:pPr>
            <w:r>
              <w:rPr>
                <w:rFonts w:ascii="Times New Roman" w:eastAsia="仿宋" w:hint="eastAsia"/>
                <w:sz w:val="21"/>
                <w:szCs w:val="21"/>
              </w:rPr>
              <w:t>娱乐用水</w:t>
            </w:r>
          </w:p>
        </w:tc>
        <w:tc>
          <w:tcPr>
            <w:tcW w:w="1621" w:type="pct"/>
            <w:tcMar>
              <w:left w:w="0" w:type="dxa"/>
              <w:right w:w="0" w:type="dxa"/>
            </w:tcMar>
            <w:vAlign w:val="center"/>
          </w:tcPr>
          <w:p w14:paraId="5ED47FF4" w14:textId="77777777" w:rsidR="00D4394E" w:rsidRDefault="00000000">
            <w:pPr>
              <w:pStyle w:val="aff3"/>
              <w:jc w:val="left"/>
              <w:rPr>
                <w:rFonts w:ascii="Times New Roman" w:eastAsia="仿宋"/>
                <w:sz w:val="21"/>
                <w:szCs w:val="21"/>
              </w:rPr>
            </w:pPr>
            <w:r>
              <w:rPr>
                <w:rFonts w:ascii="Times New Roman" w:eastAsia="仿宋" w:hint="eastAsia"/>
                <w:sz w:val="21"/>
                <w:szCs w:val="21"/>
              </w:rPr>
              <w:t>WHO</w:t>
            </w:r>
            <w:r>
              <w:rPr>
                <w:rFonts w:ascii="Times New Roman" w:eastAsia="仿宋" w:hint="eastAsia"/>
                <w:sz w:val="21"/>
                <w:szCs w:val="21"/>
              </w:rPr>
              <w:t>《娱乐用水环境安全指南》（</w:t>
            </w:r>
            <w:r>
              <w:rPr>
                <w:rFonts w:ascii="Times New Roman" w:eastAsia="仿宋" w:hint="eastAsia"/>
                <w:sz w:val="21"/>
                <w:szCs w:val="21"/>
              </w:rPr>
              <w:t>ASHRAE</w:t>
            </w:r>
            <w:r>
              <w:rPr>
                <w:rFonts w:ascii="Times New Roman" w:eastAsia="仿宋"/>
                <w:sz w:val="21"/>
                <w:szCs w:val="21"/>
              </w:rPr>
              <w:t xml:space="preserve"> Standard </w:t>
            </w:r>
            <w:r>
              <w:rPr>
                <w:rFonts w:ascii="Times New Roman" w:eastAsia="仿宋" w:hint="eastAsia"/>
                <w:sz w:val="21"/>
                <w:szCs w:val="21"/>
              </w:rPr>
              <w:t>241</w:t>
            </w:r>
            <w:r>
              <w:rPr>
                <w:rFonts w:ascii="Times New Roman" w:eastAsia="仿宋" w:hint="eastAsia"/>
                <w:sz w:val="21"/>
                <w:szCs w:val="21"/>
              </w:rPr>
              <w:t>）</w:t>
            </w:r>
          </w:p>
        </w:tc>
        <w:tc>
          <w:tcPr>
            <w:tcW w:w="2445" w:type="pct"/>
            <w:tcMar>
              <w:left w:w="0" w:type="dxa"/>
              <w:right w:w="0" w:type="dxa"/>
            </w:tcMar>
            <w:vAlign w:val="center"/>
          </w:tcPr>
          <w:p w14:paraId="193D9BCB" w14:textId="77777777" w:rsidR="00D4394E" w:rsidRDefault="00000000">
            <w:pPr>
              <w:pStyle w:val="aff3"/>
              <w:jc w:val="left"/>
              <w:rPr>
                <w:rFonts w:ascii="Times New Roman" w:eastAsia="仿宋"/>
                <w:sz w:val="21"/>
                <w:szCs w:val="21"/>
              </w:rPr>
            </w:pPr>
            <w:r>
              <w:rPr>
                <w:rFonts w:ascii="Times New Roman" w:eastAsia="仿宋" w:hint="eastAsia"/>
                <w:sz w:val="21"/>
                <w:szCs w:val="21"/>
              </w:rPr>
              <w:t>在游泳池开放前和开放期，增加对消毒剂水平的监测；定期（每天、每周）清洁热水浴缸区域、热水浴缸和管道阀门并保持良好的通风；建立控制感染的等效清洁空气；规定了空气净化装置和建筑系统运行维护的要求。</w:t>
            </w:r>
          </w:p>
        </w:tc>
      </w:tr>
      <w:tr w:rsidR="00D4394E" w14:paraId="7F2C26C1" w14:textId="77777777">
        <w:trPr>
          <w:trHeight w:val="113"/>
        </w:trPr>
        <w:tc>
          <w:tcPr>
            <w:tcW w:w="328" w:type="pct"/>
            <w:tcMar>
              <w:left w:w="0" w:type="dxa"/>
              <w:right w:w="0" w:type="dxa"/>
            </w:tcMar>
            <w:vAlign w:val="center"/>
          </w:tcPr>
          <w:p w14:paraId="54EA7290" w14:textId="77777777" w:rsidR="00D4394E" w:rsidRDefault="00000000">
            <w:pPr>
              <w:pStyle w:val="aff3"/>
              <w:rPr>
                <w:rFonts w:ascii="Times New Roman" w:eastAsia="仿宋"/>
                <w:sz w:val="21"/>
                <w:szCs w:val="21"/>
              </w:rPr>
            </w:pPr>
            <w:r>
              <w:rPr>
                <w:rFonts w:ascii="Times New Roman" w:eastAsia="仿宋"/>
                <w:sz w:val="21"/>
                <w:szCs w:val="21"/>
              </w:rPr>
              <w:t>2</w:t>
            </w:r>
          </w:p>
        </w:tc>
        <w:tc>
          <w:tcPr>
            <w:tcW w:w="604" w:type="pct"/>
            <w:tcMar>
              <w:left w:w="0" w:type="dxa"/>
              <w:right w:w="0" w:type="dxa"/>
            </w:tcMar>
            <w:vAlign w:val="center"/>
          </w:tcPr>
          <w:p w14:paraId="4139EDBB" w14:textId="77777777" w:rsidR="00D4394E" w:rsidRDefault="00000000">
            <w:pPr>
              <w:pStyle w:val="aff3"/>
              <w:rPr>
                <w:rFonts w:ascii="Times New Roman" w:eastAsia="仿宋"/>
                <w:sz w:val="21"/>
                <w:szCs w:val="21"/>
              </w:rPr>
            </w:pPr>
            <w:r>
              <w:rPr>
                <w:rFonts w:ascii="Times New Roman" w:eastAsia="仿宋"/>
                <w:sz w:val="21"/>
                <w:szCs w:val="21"/>
              </w:rPr>
              <w:t>游泳池</w:t>
            </w:r>
          </w:p>
        </w:tc>
        <w:tc>
          <w:tcPr>
            <w:tcW w:w="1621" w:type="pct"/>
            <w:tcMar>
              <w:left w:w="0" w:type="dxa"/>
              <w:right w:w="0" w:type="dxa"/>
            </w:tcMar>
            <w:vAlign w:val="center"/>
          </w:tcPr>
          <w:p w14:paraId="6661FC98" w14:textId="77777777" w:rsidR="00D4394E" w:rsidRDefault="00000000">
            <w:pPr>
              <w:pStyle w:val="aff3"/>
              <w:jc w:val="both"/>
              <w:rPr>
                <w:rFonts w:ascii="Times New Roman" w:eastAsia="仿宋"/>
                <w:sz w:val="21"/>
                <w:szCs w:val="21"/>
              </w:rPr>
            </w:pPr>
            <w:r>
              <w:rPr>
                <w:rFonts w:ascii="Times New Roman" w:eastAsia="仿宋"/>
                <w:sz w:val="21"/>
                <w:szCs w:val="21"/>
              </w:rPr>
              <w:t>美国</w:t>
            </w:r>
            <w:r>
              <w:rPr>
                <w:rFonts w:ascii="Times New Roman" w:eastAsia="仿宋"/>
                <w:sz w:val="21"/>
                <w:szCs w:val="21"/>
              </w:rPr>
              <w:t>CDC</w:t>
            </w:r>
            <w:r>
              <w:rPr>
                <w:rFonts w:ascii="Times New Roman" w:eastAsia="仿宋"/>
                <w:sz w:val="21"/>
                <w:szCs w:val="21"/>
              </w:rPr>
              <w:t>《公共卫生游泳场所示范规范》（</w:t>
            </w:r>
            <w:r>
              <w:rPr>
                <w:rFonts w:ascii="Times New Roman" w:eastAsia="仿宋"/>
                <w:sz w:val="21"/>
                <w:szCs w:val="21"/>
              </w:rPr>
              <w:t>Model Aquatic Health Code, MAHC</w:t>
            </w:r>
            <w:r>
              <w:rPr>
                <w:rFonts w:ascii="Times New Roman" w:eastAsia="仿宋"/>
                <w:sz w:val="21"/>
                <w:szCs w:val="21"/>
              </w:rPr>
              <w:t>）</w:t>
            </w:r>
          </w:p>
        </w:tc>
        <w:tc>
          <w:tcPr>
            <w:tcW w:w="2445" w:type="pct"/>
            <w:tcMar>
              <w:left w:w="0" w:type="dxa"/>
              <w:right w:w="0" w:type="dxa"/>
            </w:tcMar>
            <w:vAlign w:val="center"/>
          </w:tcPr>
          <w:p w14:paraId="58242F01" w14:textId="77777777" w:rsidR="00D4394E" w:rsidRDefault="00000000">
            <w:pPr>
              <w:pStyle w:val="aff3"/>
              <w:jc w:val="both"/>
              <w:rPr>
                <w:rFonts w:ascii="Times New Roman" w:eastAsia="仿宋"/>
                <w:sz w:val="21"/>
                <w:szCs w:val="21"/>
              </w:rPr>
            </w:pPr>
            <w:r>
              <w:rPr>
                <w:rFonts w:ascii="Times New Roman" w:eastAsia="仿宋"/>
                <w:sz w:val="21"/>
                <w:szCs w:val="21"/>
              </w:rPr>
              <w:t>余氯</w:t>
            </w:r>
            <w:r>
              <w:rPr>
                <w:rFonts w:ascii="Times New Roman" w:eastAsia="仿宋"/>
                <w:sz w:val="21"/>
                <w:szCs w:val="21"/>
              </w:rPr>
              <w:t>1.0~3.0 ppm</w:t>
            </w:r>
            <w:r>
              <w:rPr>
                <w:rFonts w:ascii="Times New Roman" w:eastAsia="仿宋"/>
                <w:sz w:val="21"/>
                <w:szCs w:val="21"/>
              </w:rPr>
              <w:t>，</w:t>
            </w:r>
            <w:r>
              <w:rPr>
                <w:rFonts w:ascii="Times New Roman" w:eastAsia="仿宋"/>
                <w:sz w:val="21"/>
                <w:szCs w:val="21"/>
              </w:rPr>
              <w:t>pH 7.2~7.8</w:t>
            </w:r>
            <w:r>
              <w:rPr>
                <w:rFonts w:ascii="Times New Roman" w:eastAsia="仿宋"/>
                <w:sz w:val="21"/>
                <w:szCs w:val="21"/>
              </w:rPr>
              <w:t>；救生设备配置（浮圈</w:t>
            </w:r>
            <w:r>
              <w:rPr>
                <w:rFonts w:ascii="Times New Roman" w:eastAsia="仿宋"/>
                <w:sz w:val="21"/>
                <w:szCs w:val="21"/>
              </w:rPr>
              <w:t>/CPR</w:t>
            </w:r>
            <w:r>
              <w:rPr>
                <w:rFonts w:ascii="Times New Roman" w:eastAsia="仿宋"/>
                <w:sz w:val="21"/>
                <w:szCs w:val="21"/>
              </w:rPr>
              <w:t>面罩）；岸上强制戴口罩</w:t>
            </w:r>
          </w:p>
        </w:tc>
      </w:tr>
      <w:tr w:rsidR="00D4394E" w14:paraId="3014BBCA" w14:textId="77777777">
        <w:trPr>
          <w:trHeight w:val="113"/>
        </w:trPr>
        <w:tc>
          <w:tcPr>
            <w:tcW w:w="328" w:type="pct"/>
            <w:tcMar>
              <w:left w:w="0" w:type="dxa"/>
              <w:right w:w="0" w:type="dxa"/>
            </w:tcMar>
            <w:vAlign w:val="center"/>
          </w:tcPr>
          <w:p w14:paraId="5BD7C1CF" w14:textId="77777777" w:rsidR="00D4394E" w:rsidRDefault="00000000">
            <w:pPr>
              <w:pStyle w:val="aff3"/>
              <w:rPr>
                <w:rFonts w:ascii="Times New Roman" w:eastAsia="仿宋"/>
                <w:sz w:val="21"/>
                <w:szCs w:val="21"/>
              </w:rPr>
            </w:pPr>
            <w:r>
              <w:rPr>
                <w:rFonts w:ascii="Times New Roman" w:eastAsia="仿宋"/>
                <w:sz w:val="21"/>
                <w:szCs w:val="21"/>
              </w:rPr>
              <w:t>3</w:t>
            </w:r>
          </w:p>
        </w:tc>
        <w:tc>
          <w:tcPr>
            <w:tcW w:w="604" w:type="pct"/>
            <w:tcMar>
              <w:left w:w="0" w:type="dxa"/>
              <w:right w:w="0" w:type="dxa"/>
            </w:tcMar>
            <w:vAlign w:val="center"/>
          </w:tcPr>
          <w:p w14:paraId="7F32FA3D" w14:textId="77777777" w:rsidR="00D4394E" w:rsidRDefault="00000000">
            <w:pPr>
              <w:pStyle w:val="aff3"/>
              <w:rPr>
                <w:rFonts w:ascii="Times New Roman" w:eastAsia="仿宋"/>
                <w:sz w:val="21"/>
                <w:szCs w:val="21"/>
              </w:rPr>
            </w:pPr>
            <w:r>
              <w:rPr>
                <w:rFonts w:ascii="Times New Roman" w:eastAsia="仿宋" w:hint="eastAsia"/>
                <w:sz w:val="21"/>
                <w:szCs w:val="21"/>
              </w:rPr>
              <w:t>游泳池等涉水娱乐场所</w:t>
            </w:r>
          </w:p>
        </w:tc>
        <w:tc>
          <w:tcPr>
            <w:tcW w:w="1621" w:type="pct"/>
            <w:tcMar>
              <w:left w:w="0" w:type="dxa"/>
              <w:right w:w="0" w:type="dxa"/>
            </w:tcMar>
            <w:vAlign w:val="center"/>
          </w:tcPr>
          <w:p w14:paraId="61B6E068" w14:textId="77777777" w:rsidR="00D4394E" w:rsidRDefault="00000000">
            <w:pPr>
              <w:pStyle w:val="aff3"/>
              <w:jc w:val="both"/>
              <w:rPr>
                <w:rFonts w:ascii="Times New Roman" w:eastAsia="仿宋"/>
                <w:sz w:val="21"/>
                <w:szCs w:val="21"/>
              </w:rPr>
            </w:pPr>
            <w:r>
              <w:rPr>
                <w:rFonts w:ascii="Times New Roman" w:eastAsia="仿宋" w:hint="eastAsia"/>
                <w:sz w:val="21"/>
                <w:szCs w:val="21"/>
              </w:rPr>
              <w:t>美国佐治亚州《公共游泳池、水疗中心和休闲水上乐园管理办法》</w:t>
            </w:r>
          </w:p>
        </w:tc>
        <w:tc>
          <w:tcPr>
            <w:tcW w:w="2445" w:type="pct"/>
            <w:tcMar>
              <w:left w:w="0" w:type="dxa"/>
              <w:right w:w="0" w:type="dxa"/>
            </w:tcMar>
            <w:vAlign w:val="center"/>
          </w:tcPr>
          <w:p w14:paraId="3FCBE580" w14:textId="77777777" w:rsidR="00D4394E" w:rsidRDefault="00000000">
            <w:pPr>
              <w:pStyle w:val="aff3"/>
              <w:jc w:val="both"/>
              <w:rPr>
                <w:rFonts w:ascii="Times New Roman" w:eastAsia="仿宋"/>
                <w:sz w:val="21"/>
                <w:szCs w:val="21"/>
              </w:rPr>
            </w:pPr>
            <w:r>
              <w:rPr>
                <w:rFonts w:ascii="Times New Roman" w:eastAsia="仿宋" w:hint="eastAsia"/>
                <w:sz w:val="21"/>
                <w:szCs w:val="21"/>
              </w:rPr>
              <w:t>获得有效经营许可证；对建筑设计、循环系统、供水和废水处理、消毒设备和化学进料器、水质指标最小值、理想水平、最大值等要求。</w:t>
            </w:r>
          </w:p>
          <w:p w14:paraId="0C3032AD" w14:textId="77777777" w:rsidR="00D4394E" w:rsidRDefault="00000000">
            <w:pPr>
              <w:pStyle w:val="aff3"/>
              <w:jc w:val="both"/>
              <w:rPr>
                <w:rFonts w:ascii="Times New Roman" w:eastAsia="仿宋"/>
                <w:sz w:val="21"/>
                <w:szCs w:val="21"/>
              </w:rPr>
            </w:pPr>
            <w:r>
              <w:rPr>
                <w:rFonts w:ascii="Times New Roman" w:eastAsia="仿宋" w:hint="eastAsia"/>
                <w:sz w:val="21"/>
                <w:szCs w:val="21"/>
              </w:rPr>
              <w:t>水质指标包括消毒剂水平、氧化还原电位、透明度、水温、</w:t>
            </w:r>
            <w:r>
              <w:rPr>
                <w:rFonts w:ascii="Times New Roman" w:eastAsia="仿宋" w:hint="eastAsia"/>
                <w:sz w:val="21"/>
                <w:szCs w:val="21"/>
              </w:rPr>
              <w:t>PH</w:t>
            </w:r>
            <w:r>
              <w:rPr>
                <w:rFonts w:ascii="Times New Roman" w:eastAsia="仿宋" w:hint="eastAsia"/>
                <w:sz w:val="21"/>
                <w:szCs w:val="21"/>
              </w:rPr>
              <w:t>、</w:t>
            </w:r>
            <w:r>
              <w:rPr>
                <w:rFonts w:ascii="Times New Roman" w:eastAsia="仿宋" w:hint="eastAsia"/>
                <w:sz w:val="21"/>
                <w:szCs w:val="21"/>
              </w:rPr>
              <w:t>TDS</w:t>
            </w:r>
            <w:r>
              <w:rPr>
                <w:rFonts w:ascii="Times New Roman" w:eastAsia="仿宋" w:hint="eastAsia"/>
                <w:sz w:val="21"/>
                <w:szCs w:val="21"/>
              </w:rPr>
              <w:t>、重金属等物理化学指标、水藻、细菌等生物指标、稳定剂等</w:t>
            </w:r>
          </w:p>
        </w:tc>
      </w:tr>
      <w:tr w:rsidR="00D4394E" w14:paraId="5F2143BC" w14:textId="77777777">
        <w:trPr>
          <w:trHeight w:val="113"/>
        </w:trPr>
        <w:tc>
          <w:tcPr>
            <w:tcW w:w="328" w:type="pct"/>
            <w:tcMar>
              <w:left w:w="0" w:type="dxa"/>
              <w:right w:w="0" w:type="dxa"/>
            </w:tcMar>
            <w:vAlign w:val="center"/>
          </w:tcPr>
          <w:p w14:paraId="2674FCEA" w14:textId="77777777" w:rsidR="00D4394E" w:rsidRDefault="00000000">
            <w:pPr>
              <w:pStyle w:val="aff3"/>
              <w:rPr>
                <w:rFonts w:ascii="Times New Roman" w:eastAsia="仿宋"/>
                <w:sz w:val="21"/>
                <w:szCs w:val="21"/>
              </w:rPr>
            </w:pPr>
            <w:r>
              <w:rPr>
                <w:rFonts w:ascii="Times New Roman" w:eastAsia="仿宋"/>
                <w:sz w:val="21"/>
                <w:szCs w:val="21"/>
              </w:rPr>
              <w:t>4</w:t>
            </w:r>
          </w:p>
        </w:tc>
        <w:tc>
          <w:tcPr>
            <w:tcW w:w="604" w:type="pct"/>
            <w:tcMar>
              <w:left w:w="0" w:type="dxa"/>
              <w:right w:w="0" w:type="dxa"/>
            </w:tcMar>
            <w:vAlign w:val="center"/>
          </w:tcPr>
          <w:p w14:paraId="71177040" w14:textId="77777777" w:rsidR="00D4394E" w:rsidRDefault="00000000">
            <w:pPr>
              <w:pStyle w:val="aff3"/>
              <w:rPr>
                <w:rFonts w:ascii="Times New Roman" w:eastAsia="仿宋"/>
                <w:sz w:val="21"/>
                <w:szCs w:val="21"/>
              </w:rPr>
            </w:pPr>
            <w:r>
              <w:rPr>
                <w:rFonts w:ascii="Times New Roman" w:eastAsia="仿宋"/>
                <w:sz w:val="21"/>
                <w:szCs w:val="21"/>
              </w:rPr>
              <w:t>娱乐用水</w:t>
            </w:r>
          </w:p>
        </w:tc>
        <w:tc>
          <w:tcPr>
            <w:tcW w:w="1621" w:type="pct"/>
            <w:tcMar>
              <w:left w:w="0" w:type="dxa"/>
              <w:right w:w="0" w:type="dxa"/>
            </w:tcMar>
            <w:vAlign w:val="center"/>
          </w:tcPr>
          <w:p w14:paraId="2B3A3FE3" w14:textId="77777777" w:rsidR="00D4394E" w:rsidRDefault="00000000">
            <w:pPr>
              <w:pStyle w:val="aff3"/>
              <w:jc w:val="both"/>
              <w:rPr>
                <w:rFonts w:ascii="Times New Roman" w:eastAsia="仿宋"/>
                <w:sz w:val="21"/>
                <w:szCs w:val="21"/>
              </w:rPr>
            </w:pPr>
            <w:r>
              <w:rPr>
                <w:rFonts w:ascii="Times New Roman" w:eastAsia="仿宋"/>
                <w:sz w:val="21"/>
                <w:szCs w:val="21"/>
              </w:rPr>
              <w:t>娱乐用水《娱乐用水质量指南》（</w:t>
            </w:r>
            <w:r>
              <w:rPr>
                <w:rFonts w:ascii="Times New Roman" w:eastAsia="仿宋"/>
                <w:sz w:val="21"/>
                <w:szCs w:val="21"/>
              </w:rPr>
              <w:t>Guidelines for Canadian Recreational Water Quality</w:t>
            </w:r>
            <w:r>
              <w:rPr>
                <w:rFonts w:ascii="Times New Roman" w:eastAsia="仿宋"/>
                <w:sz w:val="21"/>
                <w:szCs w:val="21"/>
              </w:rPr>
              <w:t>）</w:t>
            </w:r>
          </w:p>
        </w:tc>
        <w:tc>
          <w:tcPr>
            <w:tcW w:w="2445" w:type="pct"/>
            <w:tcMar>
              <w:left w:w="0" w:type="dxa"/>
              <w:right w:w="0" w:type="dxa"/>
            </w:tcMar>
            <w:vAlign w:val="center"/>
          </w:tcPr>
          <w:p w14:paraId="74B1AC05" w14:textId="77777777" w:rsidR="00D4394E" w:rsidRDefault="00000000">
            <w:pPr>
              <w:pStyle w:val="aff3"/>
              <w:jc w:val="both"/>
              <w:rPr>
                <w:rFonts w:ascii="Times New Roman" w:eastAsia="仿宋"/>
                <w:sz w:val="21"/>
                <w:szCs w:val="21"/>
              </w:rPr>
            </w:pPr>
            <w:r>
              <w:rPr>
                <w:rFonts w:ascii="Times New Roman" w:eastAsia="仿宋"/>
                <w:sz w:val="21"/>
                <w:szCs w:val="21"/>
              </w:rPr>
              <w:t>大肠杆菌</w:t>
            </w:r>
            <w:r>
              <w:rPr>
                <w:rFonts w:ascii="Times New Roman" w:eastAsia="仿宋"/>
                <w:sz w:val="21"/>
                <w:szCs w:val="21"/>
              </w:rPr>
              <w:t>≤200 CFU/100ml</w:t>
            </w:r>
            <w:r>
              <w:rPr>
                <w:rFonts w:ascii="Times New Roman" w:eastAsia="仿宋"/>
                <w:sz w:val="21"/>
                <w:szCs w:val="21"/>
              </w:rPr>
              <w:t>；隐孢子虫</w:t>
            </w:r>
            <w:r>
              <w:rPr>
                <w:rFonts w:ascii="Times New Roman" w:eastAsia="仿宋"/>
                <w:sz w:val="21"/>
                <w:szCs w:val="21"/>
              </w:rPr>
              <w:t>&lt;1</w:t>
            </w:r>
            <w:r>
              <w:rPr>
                <w:rFonts w:ascii="Times New Roman" w:eastAsia="仿宋"/>
                <w:sz w:val="21"/>
                <w:szCs w:val="21"/>
              </w:rPr>
              <w:t>个</w:t>
            </w:r>
            <w:r>
              <w:rPr>
                <w:rFonts w:ascii="Times New Roman" w:eastAsia="仿宋"/>
                <w:sz w:val="21"/>
                <w:szCs w:val="21"/>
              </w:rPr>
              <w:t>/10L</w:t>
            </w:r>
            <w:r>
              <w:rPr>
                <w:rFonts w:ascii="Times New Roman" w:eastAsia="仿宋"/>
                <w:sz w:val="21"/>
                <w:szCs w:val="21"/>
              </w:rPr>
              <w:t>；浑浊度</w:t>
            </w:r>
            <w:r>
              <w:rPr>
                <w:rFonts w:ascii="Times New Roman" w:eastAsia="仿宋"/>
                <w:sz w:val="21"/>
                <w:szCs w:val="21"/>
              </w:rPr>
              <w:t>≤1 NTU</w:t>
            </w:r>
          </w:p>
        </w:tc>
      </w:tr>
      <w:tr w:rsidR="00D4394E" w14:paraId="1600CBBD" w14:textId="77777777">
        <w:trPr>
          <w:trHeight w:val="113"/>
        </w:trPr>
        <w:tc>
          <w:tcPr>
            <w:tcW w:w="328" w:type="pct"/>
            <w:tcMar>
              <w:left w:w="0" w:type="dxa"/>
              <w:right w:w="0" w:type="dxa"/>
            </w:tcMar>
            <w:vAlign w:val="center"/>
          </w:tcPr>
          <w:p w14:paraId="1A307052" w14:textId="77777777" w:rsidR="00D4394E" w:rsidRDefault="00000000">
            <w:pPr>
              <w:pStyle w:val="aff3"/>
              <w:rPr>
                <w:rFonts w:ascii="Times New Roman" w:eastAsia="仿宋"/>
                <w:sz w:val="21"/>
                <w:szCs w:val="21"/>
              </w:rPr>
            </w:pPr>
            <w:r>
              <w:rPr>
                <w:rFonts w:ascii="Times New Roman" w:eastAsia="仿宋"/>
                <w:sz w:val="21"/>
                <w:szCs w:val="21"/>
              </w:rPr>
              <w:t>5</w:t>
            </w:r>
          </w:p>
        </w:tc>
        <w:tc>
          <w:tcPr>
            <w:tcW w:w="604" w:type="pct"/>
            <w:tcMar>
              <w:left w:w="0" w:type="dxa"/>
              <w:right w:w="0" w:type="dxa"/>
            </w:tcMar>
            <w:vAlign w:val="center"/>
          </w:tcPr>
          <w:p w14:paraId="4F51B847" w14:textId="77777777" w:rsidR="00D4394E" w:rsidRDefault="00000000">
            <w:pPr>
              <w:pStyle w:val="aff3"/>
              <w:rPr>
                <w:rFonts w:ascii="Times New Roman" w:eastAsia="仿宋"/>
                <w:sz w:val="21"/>
                <w:szCs w:val="21"/>
              </w:rPr>
            </w:pPr>
            <w:r>
              <w:rPr>
                <w:rFonts w:ascii="Times New Roman" w:eastAsia="仿宋"/>
                <w:sz w:val="21"/>
                <w:szCs w:val="21"/>
              </w:rPr>
              <w:t>泳池设施</w:t>
            </w:r>
          </w:p>
        </w:tc>
        <w:tc>
          <w:tcPr>
            <w:tcW w:w="1621" w:type="pct"/>
            <w:tcMar>
              <w:left w:w="0" w:type="dxa"/>
              <w:right w:w="0" w:type="dxa"/>
            </w:tcMar>
            <w:vAlign w:val="center"/>
          </w:tcPr>
          <w:p w14:paraId="0D17685E" w14:textId="77777777" w:rsidR="00D4394E" w:rsidRDefault="00000000">
            <w:pPr>
              <w:pStyle w:val="aff3"/>
              <w:jc w:val="both"/>
              <w:rPr>
                <w:rFonts w:ascii="Times New Roman" w:eastAsia="仿宋"/>
                <w:sz w:val="21"/>
                <w:szCs w:val="21"/>
              </w:rPr>
            </w:pPr>
            <w:r>
              <w:rPr>
                <w:rFonts w:ascii="Times New Roman" w:eastAsia="仿宋"/>
                <w:sz w:val="21"/>
                <w:szCs w:val="21"/>
              </w:rPr>
              <w:t>欧盟标准化委员会《游泳池安全要求》（</w:t>
            </w:r>
            <w:r>
              <w:rPr>
                <w:rFonts w:ascii="Times New Roman" w:eastAsia="仿宋"/>
                <w:sz w:val="21"/>
                <w:szCs w:val="21"/>
              </w:rPr>
              <w:t>EN 15288-1:2018 Swimming pools - Part 1: Safety requirements for design</w:t>
            </w:r>
            <w:r>
              <w:rPr>
                <w:rFonts w:ascii="Times New Roman" w:eastAsia="仿宋"/>
                <w:sz w:val="21"/>
                <w:szCs w:val="21"/>
              </w:rPr>
              <w:t>）</w:t>
            </w:r>
          </w:p>
        </w:tc>
        <w:tc>
          <w:tcPr>
            <w:tcW w:w="2445" w:type="pct"/>
            <w:tcMar>
              <w:left w:w="0" w:type="dxa"/>
              <w:right w:w="0" w:type="dxa"/>
            </w:tcMar>
            <w:vAlign w:val="center"/>
          </w:tcPr>
          <w:p w14:paraId="560B9931" w14:textId="77777777" w:rsidR="00D4394E" w:rsidRDefault="00000000">
            <w:pPr>
              <w:pStyle w:val="aff3"/>
              <w:jc w:val="both"/>
              <w:rPr>
                <w:rFonts w:ascii="Times New Roman" w:eastAsia="仿宋"/>
                <w:sz w:val="21"/>
                <w:szCs w:val="21"/>
              </w:rPr>
            </w:pPr>
            <w:r>
              <w:rPr>
                <w:rFonts w:ascii="Times New Roman" w:eastAsia="仿宋"/>
                <w:sz w:val="21"/>
                <w:szCs w:val="21"/>
              </w:rPr>
              <w:t>防滑摩擦系数</w:t>
            </w:r>
            <w:r>
              <w:rPr>
                <w:rFonts w:ascii="Times New Roman" w:eastAsia="仿宋"/>
                <w:sz w:val="21"/>
                <w:szCs w:val="21"/>
              </w:rPr>
              <w:t>≥0.4</w:t>
            </w:r>
            <w:r>
              <w:rPr>
                <w:rFonts w:ascii="Times New Roman" w:eastAsia="仿宋"/>
                <w:sz w:val="21"/>
                <w:szCs w:val="21"/>
              </w:rPr>
              <w:t>；紧急排水响应</w:t>
            </w:r>
            <w:r>
              <w:rPr>
                <w:rFonts w:ascii="Times New Roman" w:eastAsia="仿宋"/>
                <w:sz w:val="21"/>
                <w:szCs w:val="21"/>
              </w:rPr>
              <w:t>≤30</w:t>
            </w:r>
            <w:r>
              <w:rPr>
                <w:rFonts w:ascii="Times New Roman" w:eastAsia="仿宋"/>
                <w:sz w:val="21"/>
                <w:szCs w:val="21"/>
              </w:rPr>
              <w:t>秒；更衣室照度</w:t>
            </w:r>
            <w:r>
              <w:rPr>
                <w:rFonts w:ascii="Times New Roman" w:eastAsia="仿宋"/>
                <w:sz w:val="21"/>
                <w:szCs w:val="21"/>
              </w:rPr>
              <w:t>≥200 lux</w:t>
            </w:r>
          </w:p>
        </w:tc>
      </w:tr>
      <w:tr w:rsidR="00D4394E" w14:paraId="30961079" w14:textId="77777777">
        <w:trPr>
          <w:trHeight w:val="113"/>
        </w:trPr>
        <w:tc>
          <w:tcPr>
            <w:tcW w:w="328" w:type="pct"/>
            <w:tcMar>
              <w:left w:w="0" w:type="dxa"/>
              <w:right w:w="0" w:type="dxa"/>
            </w:tcMar>
            <w:vAlign w:val="center"/>
          </w:tcPr>
          <w:p w14:paraId="3794CA75" w14:textId="77777777" w:rsidR="00D4394E" w:rsidRDefault="00000000">
            <w:pPr>
              <w:pStyle w:val="aff3"/>
              <w:rPr>
                <w:rFonts w:ascii="Times New Roman" w:eastAsia="仿宋"/>
                <w:sz w:val="21"/>
                <w:szCs w:val="21"/>
              </w:rPr>
            </w:pPr>
            <w:r>
              <w:rPr>
                <w:rFonts w:ascii="Times New Roman" w:eastAsia="仿宋"/>
                <w:sz w:val="21"/>
                <w:szCs w:val="21"/>
              </w:rPr>
              <w:t>6</w:t>
            </w:r>
          </w:p>
        </w:tc>
        <w:tc>
          <w:tcPr>
            <w:tcW w:w="604" w:type="pct"/>
            <w:tcMar>
              <w:left w:w="0" w:type="dxa"/>
              <w:right w:w="0" w:type="dxa"/>
            </w:tcMar>
            <w:vAlign w:val="center"/>
          </w:tcPr>
          <w:p w14:paraId="6227B834" w14:textId="77777777" w:rsidR="00D4394E" w:rsidRDefault="00000000">
            <w:pPr>
              <w:pStyle w:val="aff3"/>
              <w:rPr>
                <w:rFonts w:ascii="Times New Roman" w:eastAsia="仿宋"/>
                <w:sz w:val="21"/>
                <w:szCs w:val="21"/>
              </w:rPr>
            </w:pPr>
            <w:r>
              <w:rPr>
                <w:rFonts w:ascii="Times New Roman" w:eastAsia="仿宋"/>
                <w:sz w:val="21"/>
                <w:szCs w:val="21"/>
              </w:rPr>
              <w:t>邮轮泳池</w:t>
            </w:r>
          </w:p>
        </w:tc>
        <w:tc>
          <w:tcPr>
            <w:tcW w:w="1621" w:type="pct"/>
            <w:tcMar>
              <w:left w:w="0" w:type="dxa"/>
              <w:right w:w="0" w:type="dxa"/>
            </w:tcMar>
            <w:vAlign w:val="center"/>
          </w:tcPr>
          <w:p w14:paraId="28D28A98" w14:textId="77777777" w:rsidR="00D4394E" w:rsidRDefault="00000000">
            <w:pPr>
              <w:pStyle w:val="aff3"/>
              <w:jc w:val="both"/>
              <w:rPr>
                <w:rFonts w:ascii="Times New Roman" w:eastAsia="仿宋"/>
                <w:sz w:val="21"/>
                <w:szCs w:val="21"/>
              </w:rPr>
            </w:pPr>
            <w:r>
              <w:rPr>
                <w:rFonts w:ascii="Times New Roman" w:eastAsia="仿宋"/>
                <w:sz w:val="21"/>
                <w:szCs w:val="21"/>
              </w:rPr>
              <w:t>美国</w:t>
            </w:r>
            <w:r>
              <w:rPr>
                <w:rFonts w:ascii="Times New Roman" w:eastAsia="仿宋"/>
                <w:sz w:val="21"/>
                <w:szCs w:val="21"/>
              </w:rPr>
              <w:t>CDC-USPH</w:t>
            </w:r>
            <w:r>
              <w:rPr>
                <w:rFonts w:ascii="Times New Roman" w:eastAsia="仿宋"/>
                <w:sz w:val="21"/>
                <w:szCs w:val="21"/>
              </w:rPr>
              <w:t>《船舶卫生计划》（</w:t>
            </w:r>
            <w:r>
              <w:rPr>
                <w:rFonts w:ascii="Times New Roman" w:eastAsia="仿宋"/>
                <w:sz w:val="21"/>
                <w:szCs w:val="21"/>
              </w:rPr>
              <w:t>Vessel Sanitation Program</w:t>
            </w:r>
            <w:r>
              <w:rPr>
                <w:rFonts w:ascii="Times New Roman" w:eastAsia="仿宋"/>
                <w:sz w:val="21"/>
                <w:szCs w:val="21"/>
              </w:rPr>
              <w:t>）</w:t>
            </w:r>
          </w:p>
        </w:tc>
        <w:tc>
          <w:tcPr>
            <w:tcW w:w="2445" w:type="pct"/>
            <w:tcMar>
              <w:left w:w="0" w:type="dxa"/>
              <w:right w:w="0" w:type="dxa"/>
            </w:tcMar>
            <w:vAlign w:val="center"/>
          </w:tcPr>
          <w:p w14:paraId="301BABAE" w14:textId="77777777" w:rsidR="00D4394E" w:rsidRDefault="00000000">
            <w:pPr>
              <w:pStyle w:val="aff3"/>
              <w:jc w:val="both"/>
              <w:rPr>
                <w:rFonts w:ascii="Times New Roman" w:eastAsia="仿宋"/>
                <w:sz w:val="21"/>
                <w:szCs w:val="21"/>
              </w:rPr>
            </w:pPr>
            <w:r>
              <w:rPr>
                <w:rFonts w:ascii="Times New Roman" w:eastAsia="仿宋"/>
                <w:sz w:val="21"/>
                <w:szCs w:val="21"/>
              </w:rPr>
              <w:t>氯浓度</w:t>
            </w:r>
            <w:r>
              <w:rPr>
                <w:rFonts w:ascii="Times New Roman" w:eastAsia="仿宋"/>
                <w:sz w:val="21"/>
                <w:szCs w:val="21"/>
              </w:rPr>
              <w:t>3-10 mg/L</w:t>
            </w:r>
            <w:r>
              <w:rPr>
                <w:rFonts w:ascii="Times New Roman" w:eastAsia="仿宋"/>
                <w:sz w:val="21"/>
                <w:szCs w:val="21"/>
              </w:rPr>
              <w:t>；淡水系统符合饮用水标准；海水泳池需反渗透处理</w:t>
            </w:r>
          </w:p>
        </w:tc>
      </w:tr>
      <w:tr w:rsidR="00D4394E" w14:paraId="3688F464" w14:textId="77777777">
        <w:trPr>
          <w:trHeight w:val="113"/>
        </w:trPr>
        <w:tc>
          <w:tcPr>
            <w:tcW w:w="328" w:type="pct"/>
            <w:tcMar>
              <w:left w:w="0" w:type="dxa"/>
              <w:right w:w="0" w:type="dxa"/>
            </w:tcMar>
            <w:vAlign w:val="center"/>
          </w:tcPr>
          <w:p w14:paraId="0802B8C5" w14:textId="77777777" w:rsidR="00D4394E" w:rsidRDefault="00000000">
            <w:pPr>
              <w:pStyle w:val="aff3"/>
              <w:rPr>
                <w:rFonts w:ascii="Times New Roman" w:eastAsia="仿宋"/>
                <w:sz w:val="21"/>
                <w:szCs w:val="21"/>
              </w:rPr>
            </w:pPr>
            <w:r>
              <w:rPr>
                <w:rFonts w:ascii="Times New Roman" w:eastAsia="仿宋"/>
                <w:sz w:val="21"/>
                <w:szCs w:val="21"/>
              </w:rPr>
              <w:t>7</w:t>
            </w:r>
          </w:p>
        </w:tc>
        <w:tc>
          <w:tcPr>
            <w:tcW w:w="604" w:type="pct"/>
            <w:tcMar>
              <w:left w:w="0" w:type="dxa"/>
              <w:right w:w="0" w:type="dxa"/>
            </w:tcMar>
            <w:vAlign w:val="center"/>
          </w:tcPr>
          <w:p w14:paraId="6B7703A1" w14:textId="77777777" w:rsidR="00D4394E" w:rsidRDefault="00000000">
            <w:pPr>
              <w:pStyle w:val="aff3"/>
              <w:rPr>
                <w:rFonts w:ascii="Times New Roman" w:eastAsia="仿宋"/>
                <w:sz w:val="21"/>
                <w:szCs w:val="21"/>
              </w:rPr>
            </w:pPr>
            <w:r>
              <w:rPr>
                <w:rFonts w:ascii="Times New Roman" w:eastAsia="仿宋"/>
                <w:sz w:val="21"/>
                <w:szCs w:val="21"/>
              </w:rPr>
              <w:t>自然沐浴水域</w:t>
            </w:r>
          </w:p>
        </w:tc>
        <w:tc>
          <w:tcPr>
            <w:tcW w:w="1621" w:type="pct"/>
            <w:tcMar>
              <w:left w:w="0" w:type="dxa"/>
              <w:right w:w="0" w:type="dxa"/>
            </w:tcMar>
            <w:vAlign w:val="center"/>
          </w:tcPr>
          <w:p w14:paraId="4FD31BD1" w14:textId="77777777" w:rsidR="00D4394E" w:rsidRDefault="00000000">
            <w:pPr>
              <w:pStyle w:val="aff3"/>
              <w:jc w:val="both"/>
              <w:rPr>
                <w:rFonts w:ascii="Times New Roman" w:eastAsia="仿宋"/>
                <w:sz w:val="21"/>
                <w:szCs w:val="21"/>
              </w:rPr>
            </w:pPr>
            <w:r>
              <w:rPr>
                <w:rFonts w:ascii="Times New Roman" w:eastAsia="仿宋"/>
                <w:sz w:val="21"/>
                <w:szCs w:val="21"/>
              </w:rPr>
              <w:t>欧盟指令</w:t>
            </w:r>
            <w:r>
              <w:rPr>
                <w:rFonts w:ascii="Times New Roman" w:eastAsia="仿宋"/>
                <w:sz w:val="21"/>
                <w:szCs w:val="21"/>
              </w:rPr>
              <w:t xml:space="preserve"> 2006/7/EC</w:t>
            </w:r>
          </w:p>
        </w:tc>
        <w:tc>
          <w:tcPr>
            <w:tcW w:w="2445" w:type="pct"/>
            <w:tcMar>
              <w:left w:w="0" w:type="dxa"/>
              <w:right w:w="0" w:type="dxa"/>
            </w:tcMar>
            <w:vAlign w:val="center"/>
          </w:tcPr>
          <w:p w14:paraId="70DF0327" w14:textId="77777777" w:rsidR="00D4394E" w:rsidRDefault="00000000">
            <w:pPr>
              <w:pStyle w:val="aff3"/>
              <w:jc w:val="both"/>
              <w:rPr>
                <w:rFonts w:ascii="Times New Roman" w:eastAsia="仿宋"/>
                <w:sz w:val="21"/>
                <w:szCs w:val="21"/>
              </w:rPr>
            </w:pPr>
            <w:r>
              <w:rPr>
                <w:rFonts w:ascii="Times New Roman" w:eastAsia="仿宋"/>
                <w:sz w:val="21"/>
                <w:szCs w:val="21"/>
              </w:rPr>
              <w:t>每季</w:t>
            </w:r>
            <w:r>
              <w:rPr>
                <w:rFonts w:ascii="Times New Roman" w:eastAsia="仿宋"/>
                <w:sz w:val="21"/>
                <w:szCs w:val="21"/>
              </w:rPr>
              <w:t>≥4</w:t>
            </w:r>
            <w:r>
              <w:rPr>
                <w:rFonts w:ascii="Times New Roman" w:eastAsia="仿宋"/>
                <w:sz w:val="21"/>
                <w:szCs w:val="21"/>
              </w:rPr>
              <w:t>次水质检测；大肠杆菌</w:t>
            </w:r>
            <w:r>
              <w:rPr>
                <w:rFonts w:ascii="Times New Roman" w:eastAsia="仿宋"/>
                <w:sz w:val="21"/>
                <w:szCs w:val="21"/>
              </w:rPr>
              <w:t>≤500 CFU/100ml</w:t>
            </w:r>
            <w:r>
              <w:rPr>
                <w:rFonts w:ascii="Times New Roman" w:eastAsia="仿宋"/>
                <w:sz w:val="21"/>
                <w:szCs w:val="21"/>
              </w:rPr>
              <w:t>（合格线）；突发污染应急响应；公众实时公示水质等级（</w:t>
            </w:r>
            <w:r>
              <w:rPr>
                <w:rFonts w:ascii="Times New Roman" w:eastAsia="仿宋"/>
                <w:sz w:val="21"/>
                <w:szCs w:val="21"/>
              </w:rPr>
              <w:t>2015</w:t>
            </w:r>
            <w:r>
              <w:rPr>
                <w:rFonts w:ascii="Times New Roman" w:eastAsia="仿宋"/>
                <w:sz w:val="21"/>
                <w:szCs w:val="21"/>
              </w:rPr>
              <w:t>年前全达标）</w:t>
            </w:r>
          </w:p>
        </w:tc>
      </w:tr>
      <w:tr w:rsidR="00D4394E" w14:paraId="3B82856D" w14:textId="77777777">
        <w:trPr>
          <w:trHeight w:val="113"/>
        </w:trPr>
        <w:tc>
          <w:tcPr>
            <w:tcW w:w="328" w:type="pct"/>
            <w:tcMar>
              <w:left w:w="0" w:type="dxa"/>
              <w:right w:w="0" w:type="dxa"/>
            </w:tcMar>
            <w:vAlign w:val="center"/>
          </w:tcPr>
          <w:p w14:paraId="3F1478AB" w14:textId="77777777" w:rsidR="00D4394E" w:rsidRDefault="00000000">
            <w:pPr>
              <w:pStyle w:val="aff3"/>
              <w:rPr>
                <w:rFonts w:ascii="Times New Roman" w:eastAsia="仿宋"/>
                <w:sz w:val="21"/>
                <w:szCs w:val="21"/>
              </w:rPr>
            </w:pPr>
            <w:r>
              <w:rPr>
                <w:rFonts w:ascii="Times New Roman" w:eastAsia="仿宋"/>
                <w:sz w:val="21"/>
                <w:szCs w:val="21"/>
              </w:rPr>
              <w:t>8</w:t>
            </w:r>
          </w:p>
        </w:tc>
        <w:tc>
          <w:tcPr>
            <w:tcW w:w="604" w:type="pct"/>
            <w:tcMar>
              <w:left w:w="0" w:type="dxa"/>
              <w:right w:w="0" w:type="dxa"/>
            </w:tcMar>
            <w:vAlign w:val="center"/>
          </w:tcPr>
          <w:p w14:paraId="0F6617E2" w14:textId="77777777" w:rsidR="00D4394E" w:rsidRDefault="00000000">
            <w:pPr>
              <w:pStyle w:val="aff3"/>
              <w:rPr>
                <w:rFonts w:ascii="Times New Roman" w:eastAsia="仿宋"/>
                <w:sz w:val="21"/>
                <w:szCs w:val="21"/>
              </w:rPr>
            </w:pPr>
            <w:r>
              <w:rPr>
                <w:rFonts w:ascii="Times New Roman" w:eastAsia="仿宋" w:hint="eastAsia"/>
                <w:sz w:val="21"/>
                <w:szCs w:val="21"/>
              </w:rPr>
              <w:t>宾馆酒店</w:t>
            </w:r>
          </w:p>
        </w:tc>
        <w:tc>
          <w:tcPr>
            <w:tcW w:w="1621" w:type="pct"/>
            <w:tcMar>
              <w:left w:w="0" w:type="dxa"/>
              <w:right w:w="0" w:type="dxa"/>
            </w:tcMar>
            <w:vAlign w:val="center"/>
          </w:tcPr>
          <w:p w14:paraId="5AAEF1D2" w14:textId="77777777" w:rsidR="00D4394E" w:rsidRDefault="00000000">
            <w:pPr>
              <w:pStyle w:val="aff3"/>
              <w:jc w:val="both"/>
              <w:rPr>
                <w:rFonts w:ascii="Times New Roman" w:eastAsia="仿宋"/>
                <w:sz w:val="21"/>
                <w:szCs w:val="21"/>
              </w:rPr>
            </w:pPr>
            <w:r>
              <w:rPr>
                <w:rFonts w:ascii="Times New Roman" w:eastAsia="仿宋" w:hint="eastAsia"/>
                <w:sz w:val="21"/>
                <w:szCs w:val="21"/>
              </w:rPr>
              <w:t>美国佐治亚州《旅游住宿业管理办法》</w:t>
            </w:r>
          </w:p>
        </w:tc>
        <w:tc>
          <w:tcPr>
            <w:tcW w:w="2445" w:type="pct"/>
            <w:tcMar>
              <w:left w:w="0" w:type="dxa"/>
              <w:right w:w="0" w:type="dxa"/>
            </w:tcMar>
            <w:vAlign w:val="center"/>
          </w:tcPr>
          <w:p w14:paraId="047FF263" w14:textId="77777777" w:rsidR="00D4394E" w:rsidRDefault="00000000">
            <w:pPr>
              <w:pStyle w:val="aff3"/>
              <w:jc w:val="both"/>
              <w:rPr>
                <w:rFonts w:ascii="Times New Roman" w:eastAsia="仿宋"/>
                <w:sz w:val="21"/>
                <w:szCs w:val="21"/>
              </w:rPr>
            </w:pPr>
            <w:r>
              <w:rPr>
                <w:rFonts w:ascii="Times New Roman" w:eastAsia="仿宋" w:hint="eastAsia"/>
                <w:sz w:val="21"/>
                <w:szCs w:val="21"/>
              </w:rPr>
              <w:t>规定了旅游住宿提供基本服务、设施和卫生条件的最低标准；办理旅游住宿许可证；每年不少于两次的检查；员工健康；安全水质；</w:t>
            </w:r>
            <w:r>
              <w:rPr>
                <w:rFonts w:ascii="Times New Roman" w:eastAsia="仿宋" w:hint="eastAsia"/>
                <w:sz w:val="21"/>
                <w:szCs w:val="21"/>
              </w:rPr>
              <w:lastRenderedPageBreak/>
              <w:t>厕所设施和卫生；垃圾和污水的合理处置；杀虫剂等控制管理；游泳池或水疗中心的设计、建造、运营和维护；洗衣设施的清洁与维修；餐饮服务设施提供和要求</w:t>
            </w:r>
          </w:p>
        </w:tc>
      </w:tr>
      <w:tr w:rsidR="00D4394E" w14:paraId="49948A3D" w14:textId="77777777">
        <w:trPr>
          <w:trHeight w:val="113"/>
        </w:trPr>
        <w:tc>
          <w:tcPr>
            <w:tcW w:w="328" w:type="pct"/>
            <w:tcMar>
              <w:left w:w="0" w:type="dxa"/>
              <w:right w:w="0" w:type="dxa"/>
            </w:tcMar>
            <w:vAlign w:val="center"/>
          </w:tcPr>
          <w:p w14:paraId="194568B0" w14:textId="77777777" w:rsidR="00D4394E" w:rsidRDefault="00000000">
            <w:pPr>
              <w:pStyle w:val="aff3"/>
              <w:rPr>
                <w:rFonts w:ascii="Times New Roman" w:eastAsia="仿宋"/>
                <w:sz w:val="21"/>
                <w:szCs w:val="21"/>
              </w:rPr>
            </w:pPr>
            <w:r>
              <w:rPr>
                <w:rFonts w:ascii="Times New Roman" w:eastAsia="仿宋"/>
                <w:sz w:val="21"/>
                <w:szCs w:val="21"/>
              </w:rPr>
              <w:lastRenderedPageBreak/>
              <w:t>9</w:t>
            </w:r>
          </w:p>
        </w:tc>
        <w:tc>
          <w:tcPr>
            <w:tcW w:w="604" w:type="pct"/>
            <w:tcMar>
              <w:left w:w="0" w:type="dxa"/>
              <w:right w:w="0" w:type="dxa"/>
            </w:tcMar>
            <w:vAlign w:val="center"/>
          </w:tcPr>
          <w:p w14:paraId="16CDE35C" w14:textId="77777777" w:rsidR="00D4394E" w:rsidRDefault="00000000">
            <w:pPr>
              <w:pStyle w:val="aff3"/>
              <w:rPr>
                <w:rFonts w:ascii="Times New Roman" w:eastAsia="仿宋"/>
                <w:sz w:val="21"/>
                <w:szCs w:val="21"/>
              </w:rPr>
            </w:pPr>
            <w:r>
              <w:rPr>
                <w:rFonts w:ascii="Times New Roman" w:eastAsia="仿宋"/>
                <w:sz w:val="21"/>
                <w:szCs w:val="21"/>
              </w:rPr>
              <w:t>宾馆酒店</w:t>
            </w:r>
          </w:p>
        </w:tc>
        <w:tc>
          <w:tcPr>
            <w:tcW w:w="1621" w:type="pct"/>
            <w:tcMar>
              <w:left w:w="0" w:type="dxa"/>
              <w:right w:w="0" w:type="dxa"/>
            </w:tcMar>
            <w:vAlign w:val="center"/>
          </w:tcPr>
          <w:p w14:paraId="7397F578" w14:textId="77777777" w:rsidR="00D4394E" w:rsidRDefault="00000000">
            <w:pPr>
              <w:pStyle w:val="aff3"/>
              <w:jc w:val="both"/>
              <w:rPr>
                <w:rFonts w:ascii="Times New Roman" w:eastAsia="仿宋"/>
                <w:sz w:val="21"/>
                <w:szCs w:val="21"/>
              </w:rPr>
            </w:pPr>
            <w:r>
              <w:rPr>
                <w:rFonts w:ascii="Times New Roman" w:eastAsia="仿宋"/>
                <w:sz w:val="21"/>
                <w:szCs w:val="21"/>
              </w:rPr>
              <w:t>韩国</w:t>
            </w:r>
            <w:r>
              <w:rPr>
                <w:rFonts w:ascii="Times New Roman" w:eastAsia="仿宋"/>
                <w:sz w:val="21"/>
                <w:szCs w:val="21"/>
              </w:rPr>
              <w:t>Hyun</w:t>
            </w:r>
            <w:r>
              <w:rPr>
                <w:rFonts w:ascii="Times New Roman" w:eastAsia="仿宋"/>
                <w:sz w:val="21"/>
                <w:szCs w:val="21"/>
              </w:rPr>
              <w:t>等研究</w:t>
            </w:r>
          </w:p>
        </w:tc>
        <w:tc>
          <w:tcPr>
            <w:tcW w:w="2445" w:type="pct"/>
            <w:tcMar>
              <w:left w:w="0" w:type="dxa"/>
              <w:right w:w="0" w:type="dxa"/>
            </w:tcMar>
            <w:vAlign w:val="center"/>
          </w:tcPr>
          <w:p w14:paraId="27B0ED83" w14:textId="77777777" w:rsidR="00D4394E" w:rsidRDefault="00000000">
            <w:pPr>
              <w:pStyle w:val="aff3"/>
              <w:jc w:val="both"/>
              <w:rPr>
                <w:rFonts w:ascii="Times New Roman" w:eastAsia="仿宋"/>
                <w:sz w:val="21"/>
                <w:szCs w:val="21"/>
              </w:rPr>
            </w:pPr>
            <w:r>
              <w:rPr>
                <w:rFonts w:ascii="Times New Roman" w:eastAsia="仿宋"/>
                <w:sz w:val="21"/>
                <w:szCs w:val="21"/>
              </w:rPr>
              <w:t>建议性指南：客房高频接触面消毒；餐具沸水消毒</w:t>
            </w:r>
            <w:r>
              <w:rPr>
                <w:rFonts w:ascii="Times New Roman" w:eastAsia="仿宋"/>
                <w:sz w:val="21"/>
                <w:szCs w:val="21"/>
              </w:rPr>
              <w:t>≥30</w:t>
            </w:r>
            <w:r>
              <w:rPr>
                <w:rFonts w:ascii="Times New Roman" w:eastAsia="仿宋"/>
                <w:sz w:val="21"/>
                <w:szCs w:val="21"/>
              </w:rPr>
              <w:t>秒；客房配空气净化器；员工年体检</w:t>
            </w:r>
            <w:r>
              <w:rPr>
                <w:rFonts w:ascii="Times New Roman" w:eastAsia="仿宋"/>
                <w:sz w:val="21"/>
                <w:szCs w:val="21"/>
              </w:rPr>
              <w:t>+</w:t>
            </w:r>
            <w:r>
              <w:rPr>
                <w:rFonts w:ascii="Times New Roman" w:eastAsia="仿宋"/>
                <w:sz w:val="21"/>
                <w:szCs w:val="21"/>
              </w:rPr>
              <w:t>岗前测温；办公区专业消毒</w:t>
            </w:r>
            <w:r>
              <w:rPr>
                <w:rFonts w:ascii="Times New Roman" w:eastAsia="仿宋"/>
                <w:sz w:val="21"/>
                <w:szCs w:val="21"/>
              </w:rPr>
              <w:t>+1</w:t>
            </w:r>
            <w:r>
              <w:rPr>
                <w:rFonts w:ascii="Times New Roman" w:eastAsia="仿宋"/>
                <w:sz w:val="21"/>
                <w:szCs w:val="21"/>
              </w:rPr>
              <w:t>米社交距离</w:t>
            </w:r>
          </w:p>
        </w:tc>
      </w:tr>
      <w:tr w:rsidR="00D4394E" w14:paraId="735A9B90" w14:textId="77777777">
        <w:trPr>
          <w:trHeight w:val="113"/>
        </w:trPr>
        <w:tc>
          <w:tcPr>
            <w:tcW w:w="328" w:type="pct"/>
            <w:tcMar>
              <w:left w:w="0" w:type="dxa"/>
              <w:right w:w="0" w:type="dxa"/>
            </w:tcMar>
            <w:vAlign w:val="center"/>
          </w:tcPr>
          <w:p w14:paraId="62882338" w14:textId="77777777" w:rsidR="00D4394E" w:rsidRDefault="00000000">
            <w:pPr>
              <w:pStyle w:val="aff3"/>
              <w:rPr>
                <w:rFonts w:ascii="Times New Roman" w:eastAsia="仿宋"/>
                <w:sz w:val="21"/>
                <w:szCs w:val="21"/>
              </w:rPr>
            </w:pPr>
            <w:r>
              <w:rPr>
                <w:rFonts w:ascii="Times New Roman" w:eastAsia="仿宋"/>
                <w:sz w:val="21"/>
                <w:szCs w:val="21"/>
              </w:rPr>
              <w:t>10</w:t>
            </w:r>
          </w:p>
        </w:tc>
        <w:tc>
          <w:tcPr>
            <w:tcW w:w="604" w:type="pct"/>
            <w:tcMar>
              <w:left w:w="0" w:type="dxa"/>
              <w:right w:w="0" w:type="dxa"/>
            </w:tcMar>
            <w:vAlign w:val="center"/>
          </w:tcPr>
          <w:p w14:paraId="1BBC0C1D" w14:textId="77777777" w:rsidR="00D4394E" w:rsidRDefault="00000000">
            <w:pPr>
              <w:pStyle w:val="aff3"/>
              <w:rPr>
                <w:rFonts w:ascii="Times New Roman" w:eastAsia="仿宋"/>
                <w:sz w:val="21"/>
                <w:szCs w:val="21"/>
              </w:rPr>
            </w:pPr>
            <w:r>
              <w:rPr>
                <w:rFonts w:ascii="Times New Roman" w:eastAsia="仿宋"/>
                <w:sz w:val="21"/>
                <w:szCs w:val="21"/>
              </w:rPr>
              <w:t>酒店传染病防控</w:t>
            </w:r>
          </w:p>
        </w:tc>
        <w:tc>
          <w:tcPr>
            <w:tcW w:w="1621" w:type="pct"/>
            <w:tcMar>
              <w:left w:w="0" w:type="dxa"/>
              <w:right w:w="0" w:type="dxa"/>
            </w:tcMar>
            <w:vAlign w:val="center"/>
          </w:tcPr>
          <w:p w14:paraId="1829762D" w14:textId="77777777" w:rsidR="00D4394E" w:rsidRDefault="00000000">
            <w:pPr>
              <w:pStyle w:val="aff3"/>
              <w:jc w:val="both"/>
              <w:rPr>
                <w:rFonts w:ascii="Times New Roman" w:eastAsia="仿宋"/>
                <w:sz w:val="21"/>
                <w:szCs w:val="21"/>
              </w:rPr>
            </w:pPr>
            <w:r>
              <w:rPr>
                <w:rFonts w:ascii="Times New Roman" w:eastAsia="仿宋"/>
                <w:sz w:val="21"/>
                <w:szCs w:val="21"/>
              </w:rPr>
              <w:t>香港卫生署</w:t>
            </w:r>
          </w:p>
        </w:tc>
        <w:tc>
          <w:tcPr>
            <w:tcW w:w="2445" w:type="pct"/>
            <w:tcMar>
              <w:left w:w="0" w:type="dxa"/>
              <w:right w:w="0" w:type="dxa"/>
            </w:tcMar>
            <w:vAlign w:val="center"/>
          </w:tcPr>
          <w:p w14:paraId="09A75453" w14:textId="77777777" w:rsidR="00D4394E" w:rsidRDefault="00000000">
            <w:pPr>
              <w:pStyle w:val="aff3"/>
              <w:jc w:val="both"/>
              <w:rPr>
                <w:rFonts w:ascii="Times New Roman" w:eastAsia="仿宋"/>
                <w:sz w:val="21"/>
                <w:szCs w:val="21"/>
              </w:rPr>
            </w:pPr>
            <w:r>
              <w:rPr>
                <w:rFonts w:ascii="Times New Roman" w:eastAsia="仿宋"/>
                <w:sz w:val="21"/>
                <w:szCs w:val="21"/>
              </w:rPr>
              <w:t>行业指南：登记客旅居史及联系方式；制定疫情应急预案（防护装备</w:t>
            </w:r>
            <w:r>
              <w:rPr>
                <w:rFonts w:ascii="Times New Roman" w:eastAsia="仿宋"/>
                <w:sz w:val="21"/>
                <w:szCs w:val="21"/>
              </w:rPr>
              <w:t>/</w:t>
            </w:r>
            <w:r>
              <w:rPr>
                <w:rFonts w:ascii="Times New Roman" w:eastAsia="仿宋"/>
                <w:sz w:val="21"/>
                <w:szCs w:val="21"/>
              </w:rPr>
              <w:t>员工培训</w:t>
            </w:r>
            <w:r>
              <w:rPr>
                <w:rFonts w:ascii="Times New Roman" w:eastAsia="仿宋"/>
                <w:sz w:val="21"/>
                <w:szCs w:val="21"/>
              </w:rPr>
              <w:t>/</w:t>
            </w:r>
            <w:r>
              <w:rPr>
                <w:rFonts w:ascii="Times New Roman" w:eastAsia="仿宋"/>
                <w:sz w:val="21"/>
                <w:szCs w:val="21"/>
              </w:rPr>
              <w:t>病例报告）；明确疑似病例处置流程</w:t>
            </w:r>
          </w:p>
        </w:tc>
      </w:tr>
      <w:tr w:rsidR="00D4394E" w14:paraId="75140735" w14:textId="77777777">
        <w:trPr>
          <w:trHeight w:val="632"/>
        </w:trPr>
        <w:tc>
          <w:tcPr>
            <w:tcW w:w="328" w:type="pct"/>
            <w:tcMar>
              <w:left w:w="0" w:type="dxa"/>
              <w:right w:w="0" w:type="dxa"/>
            </w:tcMar>
            <w:vAlign w:val="center"/>
          </w:tcPr>
          <w:p w14:paraId="760ED1FB" w14:textId="77777777" w:rsidR="00D4394E" w:rsidRDefault="00000000">
            <w:pPr>
              <w:pStyle w:val="aff3"/>
              <w:rPr>
                <w:rFonts w:ascii="Times New Roman" w:eastAsia="仿宋"/>
                <w:sz w:val="21"/>
                <w:szCs w:val="21"/>
              </w:rPr>
            </w:pPr>
            <w:r>
              <w:rPr>
                <w:rFonts w:ascii="Times New Roman" w:eastAsia="仿宋"/>
                <w:sz w:val="21"/>
                <w:szCs w:val="21"/>
              </w:rPr>
              <w:t>11</w:t>
            </w:r>
          </w:p>
        </w:tc>
        <w:tc>
          <w:tcPr>
            <w:tcW w:w="604" w:type="pct"/>
            <w:tcMar>
              <w:left w:w="0" w:type="dxa"/>
              <w:right w:w="0" w:type="dxa"/>
            </w:tcMar>
            <w:vAlign w:val="center"/>
          </w:tcPr>
          <w:p w14:paraId="319A6EF7" w14:textId="77777777" w:rsidR="00D4394E" w:rsidRDefault="00000000">
            <w:pPr>
              <w:pStyle w:val="aff3"/>
              <w:rPr>
                <w:rFonts w:ascii="Times New Roman" w:eastAsia="仿宋"/>
                <w:sz w:val="21"/>
                <w:szCs w:val="21"/>
              </w:rPr>
            </w:pPr>
            <w:r>
              <w:rPr>
                <w:rFonts w:ascii="Times New Roman" w:eastAsia="仿宋"/>
                <w:sz w:val="21"/>
                <w:szCs w:val="21"/>
              </w:rPr>
              <w:t>酒店住宿</w:t>
            </w:r>
          </w:p>
        </w:tc>
        <w:tc>
          <w:tcPr>
            <w:tcW w:w="1621" w:type="pct"/>
            <w:tcMar>
              <w:left w:w="0" w:type="dxa"/>
              <w:right w:w="0" w:type="dxa"/>
            </w:tcMar>
            <w:vAlign w:val="center"/>
          </w:tcPr>
          <w:p w14:paraId="0C9FB90C" w14:textId="77777777" w:rsidR="00D4394E" w:rsidRDefault="00000000">
            <w:pPr>
              <w:pStyle w:val="aff3"/>
              <w:jc w:val="both"/>
              <w:rPr>
                <w:rFonts w:ascii="Times New Roman" w:eastAsia="仿宋"/>
                <w:sz w:val="21"/>
                <w:szCs w:val="21"/>
              </w:rPr>
            </w:pPr>
            <w:r>
              <w:rPr>
                <w:rFonts w:ascii="Times New Roman" w:eastAsia="仿宋"/>
                <w:sz w:val="21"/>
                <w:szCs w:val="21"/>
              </w:rPr>
              <w:t>欧盟</w:t>
            </w:r>
            <w:r>
              <w:rPr>
                <w:rFonts w:ascii="Times New Roman" w:eastAsia="仿宋"/>
                <w:sz w:val="21"/>
                <w:szCs w:val="21"/>
              </w:rPr>
              <w:t xml:space="preserve">CEN </w:t>
            </w:r>
            <w:r>
              <w:rPr>
                <w:rFonts w:ascii="Times New Roman" w:eastAsia="仿宋"/>
                <w:sz w:val="21"/>
                <w:szCs w:val="21"/>
              </w:rPr>
              <w:t>《化学消毒剂应用指南》</w:t>
            </w:r>
            <w:r>
              <w:rPr>
                <w:rFonts w:ascii="Times New Roman" w:eastAsia="仿宋"/>
                <w:sz w:val="21"/>
                <w:szCs w:val="21"/>
              </w:rPr>
              <w:t>EN 14885:2022</w:t>
            </w:r>
          </w:p>
        </w:tc>
        <w:tc>
          <w:tcPr>
            <w:tcW w:w="2445" w:type="pct"/>
            <w:tcMar>
              <w:left w:w="0" w:type="dxa"/>
              <w:right w:w="0" w:type="dxa"/>
            </w:tcMar>
            <w:vAlign w:val="center"/>
          </w:tcPr>
          <w:p w14:paraId="668AC77D" w14:textId="77777777" w:rsidR="00D4394E" w:rsidRDefault="00000000">
            <w:pPr>
              <w:pStyle w:val="aff3"/>
              <w:jc w:val="both"/>
              <w:rPr>
                <w:rFonts w:ascii="Times New Roman" w:eastAsia="仿宋"/>
                <w:sz w:val="21"/>
                <w:szCs w:val="21"/>
              </w:rPr>
            </w:pPr>
            <w:r>
              <w:rPr>
                <w:rFonts w:ascii="Times New Roman" w:eastAsia="仿宋"/>
                <w:sz w:val="21"/>
                <w:szCs w:val="21"/>
              </w:rPr>
              <w:t>床品洗涤</w:t>
            </w:r>
            <w:r>
              <w:rPr>
                <w:rFonts w:ascii="Times New Roman" w:eastAsia="仿宋"/>
                <w:sz w:val="21"/>
                <w:szCs w:val="21"/>
              </w:rPr>
              <w:t>≥60℃</w:t>
            </w:r>
            <w:r>
              <w:rPr>
                <w:rFonts w:ascii="Times New Roman" w:eastAsia="仿宋"/>
                <w:sz w:val="21"/>
                <w:szCs w:val="21"/>
              </w:rPr>
              <w:t>或消毒剂处理；高频表面每日消毒</w:t>
            </w:r>
          </w:p>
        </w:tc>
      </w:tr>
      <w:tr w:rsidR="00D4394E" w14:paraId="1B47D7C1" w14:textId="77777777">
        <w:trPr>
          <w:trHeight w:val="113"/>
        </w:trPr>
        <w:tc>
          <w:tcPr>
            <w:tcW w:w="328" w:type="pct"/>
            <w:tcMar>
              <w:left w:w="0" w:type="dxa"/>
              <w:right w:w="0" w:type="dxa"/>
            </w:tcMar>
            <w:vAlign w:val="center"/>
          </w:tcPr>
          <w:p w14:paraId="1C6585AD" w14:textId="77777777" w:rsidR="00D4394E" w:rsidRDefault="00000000">
            <w:pPr>
              <w:pStyle w:val="aff3"/>
              <w:rPr>
                <w:rFonts w:ascii="Times New Roman" w:eastAsia="仿宋"/>
                <w:sz w:val="21"/>
                <w:szCs w:val="21"/>
              </w:rPr>
            </w:pPr>
            <w:r>
              <w:rPr>
                <w:rFonts w:ascii="Times New Roman" w:eastAsia="仿宋"/>
                <w:sz w:val="21"/>
                <w:szCs w:val="21"/>
              </w:rPr>
              <w:t>12</w:t>
            </w:r>
          </w:p>
        </w:tc>
        <w:tc>
          <w:tcPr>
            <w:tcW w:w="604" w:type="pct"/>
            <w:tcMar>
              <w:left w:w="0" w:type="dxa"/>
              <w:right w:w="0" w:type="dxa"/>
            </w:tcMar>
            <w:vAlign w:val="center"/>
          </w:tcPr>
          <w:p w14:paraId="7DC5F66A" w14:textId="77777777" w:rsidR="00D4394E" w:rsidRDefault="00000000">
            <w:pPr>
              <w:pStyle w:val="aff3"/>
              <w:rPr>
                <w:rFonts w:ascii="Times New Roman" w:eastAsia="仿宋"/>
                <w:sz w:val="21"/>
                <w:szCs w:val="21"/>
              </w:rPr>
            </w:pPr>
            <w:r>
              <w:rPr>
                <w:rFonts w:ascii="Times New Roman" w:eastAsia="仿宋"/>
                <w:sz w:val="21"/>
                <w:szCs w:val="21"/>
              </w:rPr>
              <w:t>旅游服务</w:t>
            </w:r>
          </w:p>
        </w:tc>
        <w:tc>
          <w:tcPr>
            <w:tcW w:w="1621" w:type="pct"/>
            <w:tcMar>
              <w:left w:w="0" w:type="dxa"/>
              <w:right w:w="0" w:type="dxa"/>
            </w:tcMar>
            <w:vAlign w:val="center"/>
          </w:tcPr>
          <w:p w14:paraId="2E8B4608" w14:textId="77777777" w:rsidR="00D4394E" w:rsidRDefault="00000000">
            <w:pPr>
              <w:pStyle w:val="aff3"/>
              <w:jc w:val="both"/>
              <w:rPr>
                <w:rFonts w:ascii="Times New Roman" w:eastAsia="仿宋"/>
                <w:sz w:val="21"/>
                <w:szCs w:val="21"/>
              </w:rPr>
            </w:pPr>
            <w:r>
              <w:rPr>
                <w:rFonts w:ascii="Times New Roman" w:eastAsia="仿宋"/>
                <w:sz w:val="21"/>
                <w:szCs w:val="21"/>
              </w:rPr>
              <w:t>欧盟议会《食品卫生条例》（</w:t>
            </w:r>
            <w:r>
              <w:rPr>
                <w:rFonts w:ascii="Times New Roman" w:eastAsia="仿宋"/>
                <w:sz w:val="21"/>
                <w:szCs w:val="21"/>
              </w:rPr>
              <w:t>EC No 852/2004</w:t>
            </w:r>
            <w:r>
              <w:rPr>
                <w:rFonts w:ascii="Times New Roman" w:eastAsia="仿宋"/>
                <w:sz w:val="21"/>
                <w:szCs w:val="21"/>
              </w:rPr>
              <w:t>）</w:t>
            </w:r>
          </w:p>
        </w:tc>
        <w:tc>
          <w:tcPr>
            <w:tcW w:w="2445" w:type="pct"/>
            <w:tcMar>
              <w:left w:w="0" w:type="dxa"/>
              <w:right w:w="0" w:type="dxa"/>
            </w:tcMar>
            <w:vAlign w:val="center"/>
          </w:tcPr>
          <w:p w14:paraId="300A6EC2" w14:textId="77777777" w:rsidR="00D4394E" w:rsidRDefault="00000000">
            <w:pPr>
              <w:pStyle w:val="aff3"/>
              <w:jc w:val="both"/>
              <w:rPr>
                <w:rFonts w:ascii="Times New Roman" w:eastAsia="仿宋"/>
                <w:sz w:val="21"/>
                <w:szCs w:val="21"/>
              </w:rPr>
            </w:pPr>
            <w:r>
              <w:rPr>
                <w:rFonts w:ascii="Times New Roman" w:eastAsia="仿宋"/>
                <w:sz w:val="21"/>
                <w:szCs w:val="21"/>
              </w:rPr>
              <w:t>食品区与非污染区物理隔离；热食</w:t>
            </w:r>
            <w:r>
              <w:rPr>
                <w:rFonts w:ascii="Times New Roman" w:eastAsia="仿宋"/>
                <w:sz w:val="21"/>
                <w:szCs w:val="21"/>
              </w:rPr>
              <w:t>≥60℃/</w:t>
            </w:r>
            <w:r>
              <w:rPr>
                <w:rFonts w:ascii="Times New Roman" w:eastAsia="仿宋"/>
                <w:sz w:val="21"/>
                <w:szCs w:val="21"/>
              </w:rPr>
              <w:t>冷食</w:t>
            </w:r>
            <w:r>
              <w:rPr>
                <w:rFonts w:ascii="Times New Roman" w:eastAsia="仿宋"/>
                <w:sz w:val="21"/>
                <w:szCs w:val="21"/>
              </w:rPr>
              <w:t>≤5℃</w:t>
            </w:r>
            <w:r>
              <w:rPr>
                <w:rFonts w:ascii="Times New Roman" w:eastAsia="仿宋"/>
                <w:sz w:val="21"/>
                <w:szCs w:val="21"/>
              </w:rPr>
              <w:t>；员工健康档案年更新</w:t>
            </w:r>
          </w:p>
        </w:tc>
      </w:tr>
      <w:tr w:rsidR="00D4394E" w14:paraId="6CD71C2F" w14:textId="77777777">
        <w:trPr>
          <w:trHeight w:val="113"/>
        </w:trPr>
        <w:tc>
          <w:tcPr>
            <w:tcW w:w="328" w:type="pct"/>
            <w:tcMar>
              <w:left w:w="0" w:type="dxa"/>
              <w:right w:w="0" w:type="dxa"/>
            </w:tcMar>
            <w:vAlign w:val="center"/>
          </w:tcPr>
          <w:p w14:paraId="2E2CC155" w14:textId="77777777" w:rsidR="00D4394E" w:rsidRDefault="00000000">
            <w:pPr>
              <w:pStyle w:val="aff3"/>
              <w:rPr>
                <w:rFonts w:ascii="Times New Roman" w:eastAsia="仿宋"/>
                <w:sz w:val="21"/>
                <w:szCs w:val="21"/>
              </w:rPr>
            </w:pPr>
            <w:r>
              <w:rPr>
                <w:rFonts w:ascii="Times New Roman" w:eastAsia="仿宋"/>
                <w:sz w:val="21"/>
                <w:szCs w:val="21"/>
              </w:rPr>
              <w:t>13</w:t>
            </w:r>
          </w:p>
        </w:tc>
        <w:tc>
          <w:tcPr>
            <w:tcW w:w="604" w:type="pct"/>
            <w:tcMar>
              <w:left w:w="0" w:type="dxa"/>
              <w:right w:w="0" w:type="dxa"/>
            </w:tcMar>
            <w:vAlign w:val="center"/>
          </w:tcPr>
          <w:p w14:paraId="0601B8E4" w14:textId="77777777" w:rsidR="00D4394E" w:rsidRDefault="00000000">
            <w:pPr>
              <w:pStyle w:val="aff3"/>
              <w:rPr>
                <w:rFonts w:ascii="Times New Roman" w:eastAsia="仿宋"/>
                <w:sz w:val="21"/>
                <w:szCs w:val="21"/>
              </w:rPr>
            </w:pPr>
            <w:r>
              <w:rPr>
                <w:rFonts w:ascii="Times New Roman" w:eastAsia="仿宋"/>
                <w:sz w:val="21"/>
                <w:szCs w:val="21"/>
              </w:rPr>
              <w:t>体育场馆</w:t>
            </w:r>
          </w:p>
        </w:tc>
        <w:tc>
          <w:tcPr>
            <w:tcW w:w="1621" w:type="pct"/>
            <w:tcMar>
              <w:left w:w="0" w:type="dxa"/>
              <w:right w:w="0" w:type="dxa"/>
            </w:tcMar>
            <w:vAlign w:val="center"/>
          </w:tcPr>
          <w:p w14:paraId="0B1EC298" w14:textId="77777777" w:rsidR="00D4394E" w:rsidRDefault="00000000">
            <w:pPr>
              <w:pStyle w:val="aff3"/>
              <w:jc w:val="both"/>
              <w:rPr>
                <w:rFonts w:ascii="Times New Roman" w:eastAsia="仿宋"/>
                <w:sz w:val="21"/>
                <w:szCs w:val="21"/>
              </w:rPr>
            </w:pPr>
            <w:r>
              <w:rPr>
                <w:rFonts w:ascii="Times New Roman" w:eastAsia="仿宋"/>
                <w:sz w:val="21"/>
                <w:szCs w:val="21"/>
              </w:rPr>
              <w:t>德国标准化协会</w:t>
            </w:r>
            <w:r>
              <w:rPr>
                <w:rFonts w:ascii="Times New Roman" w:eastAsia="仿宋"/>
                <w:sz w:val="21"/>
                <w:szCs w:val="21"/>
              </w:rPr>
              <w:t xml:space="preserve"> </w:t>
            </w:r>
            <w:r>
              <w:rPr>
                <w:rFonts w:ascii="Times New Roman" w:eastAsia="仿宋"/>
                <w:sz w:val="21"/>
                <w:szCs w:val="21"/>
              </w:rPr>
              <w:t>《体育馆卫生管理规范》（</w:t>
            </w:r>
            <w:r>
              <w:rPr>
                <w:rFonts w:ascii="Times New Roman" w:eastAsia="仿宋"/>
                <w:sz w:val="21"/>
                <w:szCs w:val="21"/>
              </w:rPr>
              <w:t>DIN 18032-2:2023</w:t>
            </w:r>
            <w:r>
              <w:rPr>
                <w:rFonts w:ascii="Times New Roman" w:eastAsia="仿宋"/>
                <w:sz w:val="21"/>
                <w:szCs w:val="21"/>
              </w:rPr>
              <w:t>）</w:t>
            </w:r>
          </w:p>
        </w:tc>
        <w:tc>
          <w:tcPr>
            <w:tcW w:w="2445" w:type="pct"/>
            <w:tcMar>
              <w:left w:w="0" w:type="dxa"/>
              <w:right w:w="0" w:type="dxa"/>
            </w:tcMar>
            <w:vAlign w:val="center"/>
          </w:tcPr>
          <w:p w14:paraId="361C0ACD" w14:textId="77777777" w:rsidR="00D4394E" w:rsidRDefault="00000000">
            <w:pPr>
              <w:pStyle w:val="aff3"/>
              <w:jc w:val="both"/>
              <w:rPr>
                <w:rFonts w:ascii="Times New Roman" w:eastAsia="仿宋"/>
                <w:sz w:val="21"/>
                <w:szCs w:val="21"/>
              </w:rPr>
            </w:pPr>
            <w:r>
              <w:rPr>
                <w:rFonts w:ascii="Times New Roman" w:eastAsia="仿宋"/>
                <w:sz w:val="21"/>
                <w:szCs w:val="21"/>
              </w:rPr>
              <w:t>看台栏杆承重年检；可移动座椅间距</w:t>
            </w:r>
            <w:r>
              <w:rPr>
                <w:rFonts w:ascii="Times New Roman" w:eastAsia="仿宋"/>
                <w:sz w:val="21"/>
                <w:szCs w:val="21"/>
              </w:rPr>
              <w:t>≥0.45</w:t>
            </w:r>
            <w:r>
              <w:rPr>
                <w:rFonts w:ascii="Times New Roman" w:eastAsia="仿宋"/>
                <w:sz w:val="21"/>
                <w:szCs w:val="21"/>
              </w:rPr>
              <w:t>米</w:t>
            </w:r>
          </w:p>
        </w:tc>
      </w:tr>
      <w:tr w:rsidR="00D4394E" w14:paraId="78C1FB31" w14:textId="77777777">
        <w:trPr>
          <w:trHeight w:val="113"/>
        </w:trPr>
        <w:tc>
          <w:tcPr>
            <w:tcW w:w="328" w:type="pct"/>
            <w:tcMar>
              <w:left w:w="0" w:type="dxa"/>
              <w:right w:w="0" w:type="dxa"/>
            </w:tcMar>
            <w:vAlign w:val="center"/>
          </w:tcPr>
          <w:p w14:paraId="13611C61" w14:textId="77777777" w:rsidR="00D4394E" w:rsidRDefault="00000000">
            <w:pPr>
              <w:pStyle w:val="aff3"/>
              <w:rPr>
                <w:rFonts w:ascii="Times New Roman" w:eastAsia="仿宋"/>
                <w:sz w:val="21"/>
                <w:szCs w:val="21"/>
              </w:rPr>
            </w:pPr>
            <w:r>
              <w:rPr>
                <w:rFonts w:ascii="Times New Roman" w:eastAsia="仿宋"/>
                <w:sz w:val="21"/>
                <w:szCs w:val="21"/>
              </w:rPr>
              <w:t>14</w:t>
            </w:r>
          </w:p>
        </w:tc>
        <w:tc>
          <w:tcPr>
            <w:tcW w:w="604" w:type="pct"/>
            <w:tcMar>
              <w:left w:w="0" w:type="dxa"/>
              <w:right w:w="0" w:type="dxa"/>
            </w:tcMar>
            <w:vAlign w:val="center"/>
          </w:tcPr>
          <w:p w14:paraId="0F8A7EE5" w14:textId="77777777" w:rsidR="00D4394E" w:rsidRDefault="00000000">
            <w:pPr>
              <w:pStyle w:val="aff3"/>
              <w:rPr>
                <w:rFonts w:ascii="Times New Roman" w:eastAsia="仿宋"/>
                <w:sz w:val="21"/>
                <w:szCs w:val="21"/>
              </w:rPr>
            </w:pPr>
            <w:r>
              <w:rPr>
                <w:rFonts w:ascii="Times New Roman" w:eastAsia="仿宋" w:hint="eastAsia"/>
                <w:sz w:val="21"/>
                <w:szCs w:val="21"/>
              </w:rPr>
              <w:t>冰上竞技场</w:t>
            </w:r>
          </w:p>
        </w:tc>
        <w:tc>
          <w:tcPr>
            <w:tcW w:w="1621" w:type="pct"/>
            <w:tcMar>
              <w:left w:w="0" w:type="dxa"/>
              <w:right w:w="0" w:type="dxa"/>
            </w:tcMar>
            <w:vAlign w:val="center"/>
          </w:tcPr>
          <w:p w14:paraId="4F32DFDF" w14:textId="77777777" w:rsidR="00D4394E" w:rsidRDefault="00000000">
            <w:pPr>
              <w:pStyle w:val="aff3"/>
              <w:jc w:val="both"/>
              <w:rPr>
                <w:rFonts w:ascii="Times New Roman" w:eastAsia="仿宋"/>
                <w:sz w:val="21"/>
                <w:szCs w:val="21"/>
              </w:rPr>
            </w:pPr>
            <w:r>
              <w:rPr>
                <w:rFonts w:ascii="Times New Roman" w:eastAsia="仿宋" w:hint="eastAsia"/>
                <w:sz w:val="21"/>
                <w:szCs w:val="21"/>
              </w:rPr>
              <w:t>美国</w:t>
            </w:r>
            <w:r>
              <w:rPr>
                <w:rFonts w:ascii="Times New Roman" w:eastAsia="仿宋" w:hint="eastAsia"/>
                <w:sz w:val="21"/>
                <w:szCs w:val="21"/>
              </w:rPr>
              <w:t>EPA</w:t>
            </w:r>
            <w:r>
              <w:rPr>
                <w:rFonts w:ascii="Times New Roman" w:eastAsia="仿宋" w:hint="eastAsia"/>
                <w:sz w:val="21"/>
                <w:szCs w:val="21"/>
              </w:rPr>
              <w:t>《冰上竞技场室内空气管理指南》</w:t>
            </w:r>
          </w:p>
        </w:tc>
        <w:tc>
          <w:tcPr>
            <w:tcW w:w="2445" w:type="pct"/>
            <w:tcMar>
              <w:left w:w="0" w:type="dxa"/>
              <w:right w:w="0" w:type="dxa"/>
            </w:tcMar>
            <w:vAlign w:val="center"/>
          </w:tcPr>
          <w:p w14:paraId="6DC34F31" w14:textId="77777777" w:rsidR="00D4394E" w:rsidRDefault="00000000">
            <w:pPr>
              <w:pStyle w:val="aff3"/>
              <w:jc w:val="both"/>
              <w:rPr>
                <w:rFonts w:ascii="Times New Roman" w:eastAsia="仿宋"/>
                <w:sz w:val="21"/>
                <w:szCs w:val="21"/>
              </w:rPr>
            </w:pPr>
            <w:r>
              <w:rPr>
                <w:rFonts w:ascii="Times New Roman" w:eastAsia="仿宋" w:hint="eastAsia"/>
                <w:sz w:val="21"/>
                <w:szCs w:val="21"/>
              </w:rPr>
              <w:t>1.</w:t>
            </w:r>
            <w:r>
              <w:rPr>
                <w:rFonts w:ascii="Times New Roman" w:eastAsia="仿宋" w:hint="eastAsia"/>
                <w:sz w:val="21"/>
                <w:szCs w:val="21"/>
              </w:rPr>
              <w:t>了解与室内竞技场相关的潜在室内空气质量风险。</w:t>
            </w:r>
            <w:r>
              <w:rPr>
                <w:rFonts w:ascii="Times New Roman" w:eastAsia="仿宋" w:hint="eastAsia"/>
                <w:sz w:val="21"/>
                <w:szCs w:val="21"/>
              </w:rPr>
              <w:t>2.</w:t>
            </w:r>
            <w:r>
              <w:rPr>
                <w:rFonts w:ascii="Times New Roman" w:eastAsia="仿宋" w:hint="eastAsia"/>
                <w:sz w:val="21"/>
                <w:szCs w:val="21"/>
              </w:rPr>
              <w:t>注意燃烧污染物中毒的警告信号。</w:t>
            </w:r>
            <w:r>
              <w:rPr>
                <w:rFonts w:ascii="Times New Roman" w:eastAsia="仿宋" w:hint="eastAsia"/>
                <w:sz w:val="21"/>
                <w:szCs w:val="21"/>
              </w:rPr>
              <w:t>3.</w:t>
            </w:r>
            <w:r>
              <w:rPr>
                <w:rFonts w:ascii="Times New Roman" w:eastAsia="仿宋" w:hint="eastAsia"/>
                <w:sz w:val="21"/>
                <w:szCs w:val="21"/>
              </w:rPr>
              <w:t>业主和管理者对从业者进行室内空气质量安全培训。</w:t>
            </w:r>
            <w:r>
              <w:rPr>
                <w:rFonts w:ascii="Times New Roman" w:eastAsia="仿宋" w:hint="eastAsia"/>
                <w:sz w:val="21"/>
                <w:szCs w:val="21"/>
              </w:rPr>
              <w:t>4.</w:t>
            </w:r>
            <w:r>
              <w:rPr>
                <w:rFonts w:ascii="Times New Roman" w:eastAsia="仿宋" w:hint="eastAsia"/>
                <w:sz w:val="21"/>
                <w:szCs w:val="21"/>
              </w:rPr>
              <w:t>建立应对室内空气紧急情况程序。</w:t>
            </w:r>
            <w:r>
              <w:rPr>
                <w:rFonts w:ascii="Times New Roman" w:eastAsia="仿宋" w:hint="eastAsia"/>
                <w:sz w:val="21"/>
                <w:szCs w:val="21"/>
              </w:rPr>
              <w:t>5.</w:t>
            </w:r>
            <w:r>
              <w:rPr>
                <w:rFonts w:ascii="Times New Roman" w:eastAsia="仿宋" w:hint="eastAsia"/>
                <w:sz w:val="21"/>
                <w:szCs w:val="21"/>
              </w:rPr>
              <w:t>提供足够机械通风和新鲜室外空气。</w:t>
            </w:r>
            <w:r>
              <w:rPr>
                <w:rFonts w:ascii="Times New Roman" w:eastAsia="仿宋" w:hint="eastAsia"/>
                <w:sz w:val="21"/>
                <w:szCs w:val="21"/>
              </w:rPr>
              <w:t>6.</w:t>
            </w:r>
            <w:r>
              <w:rPr>
                <w:rFonts w:ascii="Times New Roman" w:eastAsia="仿宋" w:hint="eastAsia"/>
                <w:sz w:val="21"/>
                <w:szCs w:val="21"/>
              </w:rPr>
              <w:t>保证通道畅通和空气流通。</w:t>
            </w:r>
            <w:r>
              <w:rPr>
                <w:rFonts w:ascii="Times New Roman" w:eastAsia="仿宋" w:hint="eastAsia"/>
                <w:sz w:val="21"/>
                <w:szCs w:val="21"/>
              </w:rPr>
              <w:t>7.</w:t>
            </w:r>
            <w:r>
              <w:rPr>
                <w:rFonts w:ascii="Times New Roman" w:eastAsia="仿宋" w:hint="eastAsia"/>
                <w:sz w:val="21"/>
                <w:szCs w:val="21"/>
              </w:rPr>
              <w:t>建立空气质量监测系统。</w:t>
            </w:r>
            <w:r>
              <w:rPr>
                <w:rFonts w:ascii="Times New Roman" w:eastAsia="仿宋" w:hint="eastAsia"/>
                <w:sz w:val="21"/>
                <w:szCs w:val="21"/>
              </w:rPr>
              <w:t>8.</w:t>
            </w:r>
            <w:r>
              <w:rPr>
                <w:rFonts w:ascii="Times New Roman" w:eastAsia="仿宋" w:hint="eastAsia"/>
                <w:sz w:val="21"/>
                <w:szCs w:val="21"/>
              </w:rPr>
              <w:t>定期维护等。</w:t>
            </w:r>
          </w:p>
        </w:tc>
      </w:tr>
      <w:tr w:rsidR="00D4394E" w14:paraId="3BC60BE0" w14:textId="77777777">
        <w:trPr>
          <w:trHeight w:val="113"/>
        </w:trPr>
        <w:tc>
          <w:tcPr>
            <w:tcW w:w="328" w:type="pct"/>
            <w:tcMar>
              <w:left w:w="0" w:type="dxa"/>
              <w:right w:w="0" w:type="dxa"/>
            </w:tcMar>
            <w:vAlign w:val="center"/>
          </w:tcPr>
          <w:p w14:paraId="44CE7253" w14:textId="77777777" w:rsidR="00D4394E" w:rsidRDefault="00000000">
            <w:pPr>
              <w:pStyle w:val="aff3"/>
              <w:rPr>
                <w:rFonts w:ascii="Times New Roman" w:eastAsia="仿宋"/>
                <w:sz w:val="21"/>
                <w:szCs w:val="21"/>
              </w:rPr>
            </w:pPr>
            <w:r>
              <w:rPr>
                <w:rFonts w:ascii="Times New Roman" w:eastAsia="仿宋"/>
                <w:sz w:val="21"/>
                <w:szCs w:val="21"/>
              </w:rPr>
              <w:t>15</w:t>
            </w:r>
          </w:p>
        </w:tc>
        <w:tc>
          <w:tcPr>
            <w:tcW w:w="604" w:type="pct"/>
            <w:tcMar>
              <w:left w:w="0" w:type="dxa"/>
              <w:right w:w="0" w:type="dxa"/>
            </w:tcMar>
            <w:vAlign w:val="center"/>
          </w:tcPr>
          <w:p w14:paraId="3F04A6CE" w14:textId="77777777" w:rsidR="00D4394E" w:rsidRDefault="00000000">
            <w:pPr>
              <w:pStyle w:val="aff3"/>
              <w:rPr>
                <w:rFonts w:ascii="Times New Roman" w:eastAsia="仿宋"/>
                <w:sz w:val="21"/>
                <w:szCs w:val="21"/>
              </w:rPr>
            </w:pPr>
            <w:r>
              <w:rPr>
                <w:rFonts w:ascii="Times New Roman" w:eastAsia="仿宋"/>
                <w:sz w:val="21"/>
                <w:szCs w:val="21"/>
              </w:rPr>
              <w:t>公共交通</w:t>
            </w:r>
          </w:p>
        </w:tc>
        <w:tc>
          <w:tcPr>
            <w:tcW w:w="1621" w:type="pct"/>
            <w:tcMar>
              <w:left w:w="0" w:type="dxa"/>
              <w:right w:w="0" w:type="dxa"/>
            </w:tcMar>
            <w:vAlign w:val="center"/>
          </w:tcPr>
          <w:p w14:paraId="307FFFB5" w14:textId="77777777" w:rsidR="00D4394E" w:rsidRDefault="00000000">
            <w:pPr>
              <w:pStyle w:val="aff3"/>
              <w:jc w:val="both"/>
              <w:rPr>
                <w:rFonts w:ascii="Times New Roman" w:eastAsia="仿宋"/>
                <w:sz w:val="21"/>
                <w:szCs w:val="21"/>
              </w:rPr>
            </w:pPr>
            <w:r>
              <w:rPr>
                <w:rFonts w:ascii="Times New Roman" w:eastAsia="仿宋"/>
                <w:sz w:val="21"/>
                <w:szCs w:val="21"/>
              </w:rPr>
              <w:t>欧盟委员会《航空安全与卫生规范》（</w:t>
            </w:r>
            <w:r>
              <w:rPr>
                <w:rFonts w:ascii="Times New Roman" w:eastAsia="仿宋"/>
                <w:sz w:val="21"/>
                <w:szCs w:val="21"/>
              </w:rPr>
              <w:t>EU 2020/1150</w:t>
            </w:r>
            <w:r>
              <w:rPr>
                <w:rFonts w:ascii="Times New Roman" w:eastAsia="仿宋"/>
                <w:sz w:val="21"/>
                <w:szCs w:val="21"/>
              </w:rPr>
              <w:t>）</w:t>
            </w:r>
          </w:p>
        </w:tc>
        <w:tc>
          <w:tcPr>
            <w:tcW w:w="2445" w:type="pct"/>
            <w:tcMar>
              <w:left w:w="0" w:type="dxa"/>
              <w:right w:w="0" w:type="dxa"/>
            </w:tcMar>
            <w:vAlign w:val="center"/>
          </w:tcPr>
          <w:p w14:paraId="3981988C" w14:textId="77777777" w:rsidR="00D4394E" w:rsidRDefault="00000000">
            <w:pPr>
              <w:pStyle w:val="aff3"/>
              <w:jc w:val="both"/>
              <w:rPr>
                <w:rFonts w:ascii="Times New Roman" w:eastAsia="仿宋"/>
                <w:sz w:val="21"/>
                <w:szCs w:val="21"/>
              </w:rPr>
            </w:pPr>
            <w:r>
              <w:rPr>
                <w:rFonts w:ascii="Times New Roman" w:eastAsia="仿宋"/>
                <w:sz w:val="21"/>
                <w:szCs w:val="21"/>
              </w:rPr>
              <w:t>HEPA</w:t>
            </w:r>
            <w:r>
              <w:rPr>
                <w:rFonts w:ascii="Times New Roman" w:eastAsia="仿宋"/>
                <w:sz w:val="21"/>
                <w:szCs w:val="21"/>
              </w:rPr>
              <w:t>过滤器每</w:t>
            </w:r>
            <w:r>
              <w:rPr>
                <w:rFonts w:ascii="Times New Roman" w:eastAsia="仿宋"/>
                <w:sz w:val="21"/>
                <w:szCs w:val="21"/>
              </w:rPr>
              <w:t>50</w:t>
            </w:r>
            <w:r>
              <w:rPr>
                <w:rFonts w:ascii="Times New Roman" w:eastAsia="仿宋"/>
                <w:sz w:val="21"/>
                <w:szCs w:val="21"/>
              </w:rPr>
              <w:t>次起降更换；座椅抗菌涂层抑菌率</w:t>
            </w:r>
            <w:r>
              <w:rPr>
                <w:rFonts w:ascii="Times New Roman" w:eastAsia="仿宋"/>
                <w:sz w:val="21"/>
                <w:szCs w:val="21"/>
              </w:rPr>
              <w:t>≥99%</w:t>
            </w:r>
          </w:p>
        </w:tc>
      </w:tr>
      <w:tr w:rsidR="00D4394E" w14:paraId="1D4E4AC0" w14:textId="77777777">
        <w:trPr>
          <w:trHeight w:val="113"/>
        </w:trPr>
        <w:tc>
          <w:tcPr>
            <w:tcW w:w="328" w:type="pct"/>
            <w:tcMar>
              <w:left w:w="0" w:type="dxa"/>
              <w:right w:w="0" w:type="dxa"/>
            </w:tcMar>
            <w:vAlign w:val="center"/>
          </w:tcPr>
          <w:p w14:paraId="37C2621F" w14:textId="77777777" w:rsidR="00D4394E" w:rsidRDefault="00000000">
            <w:pPr>
              <w:pStyle w:val="aff3"/>
              <w:rPr>
                <w:rFonts w:ascii="Times New Roman" w:eastAsia="仿宋"/>
                <w:sz w:val="21"/>
                <w:szCs w:val="21"/>
              </w:rPr>
            </w:pPr>
            <w:r>
              <w:rPr>
                <w:rFonts w:ascii="Times New Roman" w:eastAsia="仿宋"/>
                <w:sz w:val="21"/>
                <w:szCs w:val="21"/>
              </w:rPr>
              <w:t>16</w:t>
            </w:r>
          </w:p>
        </w:tc>
        <w:tc>
          <w:tcPr>
            <w:tcW w:w="604" w:type="pct"/>
            <w:tcMar>
              <w:left w:w="0" w:type="dxa"/>
              <w:right w:w="0" w:type="dxa"/>
            </w:tcMar>
            <w:vAlign w:val="center"/>
          </w:tcPr>
          <w:p w14:paraId="373B1F9F" w14:textId="77777777" w:rsidR="00D4394E" w:rsidRDefault="00000000">
            <w:pPr>
              <w:pStyle w:val="aff3"/>
              <w:rPr>
                <w:rFonts w:ascii="Times New Roman" w:eastAsia="仿宋"/>
                <w:sz w:val="21"/>
                <w:szCs w:val="21"/>
              </w:rPr>
            </w:pPr>
            <w:r>
              <w:rPr>
                <w:rFonts w:ascii="Times New Roman" w:eastAsia="仿宋"/>
                <w:sz w:val="21"/>
                <w:szCs w:val="21"/>
              </w:rPr>
              <w:t>商场</w:t>
            </w:r>
          </w:p>
        </w:tc>
        <w:tc>
          <w:tcPr>
            <w:tcW w:w="1621" w:type="pct"/>
            <w:tcMar>
              <w:left w:w="0" w:type="dxa"/>
              <w:right w:w="0" w:type="dxa"/>
            </w:tcMar>
            <w:vAlign w:val="center"/>
          </w:tcPr>
          <w:p w14:paraId="7238E0DD" w14:textId="77777777" w:rsidR="00D4394E" w:rsidRDefault="00000000">
            <w:pPr>
              <w:pStyle w:val="aff3"/>
              <w:jc w:val="both"/>
              <w:rPr>
                <w:rFonts w:ascii="Times New Roman" w:eastAsia="仿宋"/>
                <w:sz w:val="21"/>
                <w:szCs w:val="21"/>
              </w:rPr>
            </w:pPr>
            <w:r>
              <w:rPr>
                <w:rFonts w:ascii="Times New Roman" w:eastAsia="仿宋"/>
                <w:sz w:val="21"/>
                <w:szCs w:val="21"/>
              </w:rPr>
              <w:t>美国</w:t>
            </w:r>
            <w:r>
              <w:rPr>
                <w:rFonts w:ascii="Times New Roman" w:eastAsia="仿宋"/>
                <w:sz w:val="21"/>
                <w:szCs w:val="21"/>
              </w:rPr>
              <w:t xml:space="preserve">ASHRAE </w:t>
            </w:r>
            <w:r>
              <w:rPr>
                <w:rFonts w:ascii="Times New Roman" w:eastAsia="仿宋"/>
                <w:sz w:val="21"/>
                <w:szCs w:val="21"/>
              </w:rPr>
              <w:t>《室内空气质量标准》（</w:t>
            </w:r>
            <w:r>
              <w:rPr>
                <w:rFonts w:ascii="Times New Roman" w:eastAsia="仿宋"/>
                <w:sz w:val="21"/>
                <w:szCs w:val="21"/>
              </w:rPr>
              <w:t>ANSI/ASHRAE 62.1-2022</w:t>
            </w:r>
            <w:r>
              <w:rPr>
                <w:rFonts w:ascii="Times New Roman" w:eastAsia="仿宋"/>
                <w:sz w:val="21"/>
                <w:szCs w:val="21"/>
              </w:rPr>
              <w:t>）</w:t>
            </w:r>
          </w:p>
        </w:tc>
        <w:tc>
          <w:tcPr>
            <w:tcW w:w="2445" w:type="pct"/>
            <w:tcMar>
              <w:left w:w="0" w:type="dxa"/>
              <w:right w:w="0" w:type="dxa"/>
            </w:tcMar>
            <w:vAlign w:val="center"/>
          </w:tcPr>
          <w:p w14:paraId="0B1770C7" w14:textId="77777777" w:rsidR="00D4394E" w:rsidRDefault="00000000">
            <w:pPr>
              <w:pStyle w:val="aff3"/>
              <w:jc w:val="both"/>
              <w:rPr>
                <w:rFonts w:ascii="Times New Roman" w:eastAsia="仿宋"/>
                <w:sz w:val="21"/>
                <w:szCs w:val="21"/>
              </w:rPr>
            </w:pPr>
            <w:r>
              <w:rPr>
                <w:rFonts w:ascii="Times New Roman" w:eastAsia="仿宋"/>
                <w:sz w:val="21"/>
                <w:szCs w:val="21"/>
              </w:rPr>
              <w:t>新风量</w:t>
            </w:r>
            <w:r>
              <w:rPr>
                <w:rFonts w:ascii="Times New Roman" w:eastAsia="仿宋"/>
                <w:sz w:val="21"/>
                <w:szCs w:val="21"/>
              </w:rPr>
              <w:t>≥8.5 L/(s·</w:t>
            </w:r>
            <w:r>
              <w:rPr>
                <w:rFonts w:ascii="Times New Roman" w:eastAsia="仿宋"/>
                <w:sz w:val="21"/>
                <w:szCs w:val="21"/>
              </w:rPr>
              <w:t>人</w:t>
            </w:r>
            <w:r>
              <w:rPr>
                <w:rFonts w:ascii="Times New Roman" w:eastAsia="仿宋"/>
                <w:sz w:val="21"/>
                <w:szCs w:val="21"/>
              </w:rPr>
              <w:t>)</w:t>
            </w:r>
            <w:r>
              <w:rPr>
                <w:rFonts w:ascii="Times New Roman" w:eastAsia="仿宋"/>
                <w:sz w:val="21"/>
                <w:szCs w:val="21"/>
              </w:rPr>
              <w:t>；</w:t>
            </w:r>
            <w:r>
              <w:rPr>
                <w:rFonts w:ascii="Times New Roman" w:eastAsia="仿宋"/>
                <w:sz w:val="21"/>
                <w:szCs w:val="21"/>
              </w:rPr>
              <w:t>CO</w:t>
            </w:r>
            <w:r>
              <w:rPr>
                <w:rFonts w:ascii="Times New Roman" w:eastAsia="仿宋"/>
                <w:sz w:val="21"/>
                <w:szCs w:val="21"/>
                <w:vertAlign w:val="subscript"/>
              </w:rPr>
              <w:t>2</w:t>
            </w:r>
            <w:r>
              <w:rPr>
                <w:rFonts w:ascii="Times New Roman" w:eastAsia="仿宋"/>
                <w:sz w:val="21"/>
                <w:szCs w:val="21"/>
              </w:rPr>
              <w:t>差值</w:t>
            </w:r>
            <w:r>
              <w:rPr>
                <w:rFonts w:ascii="Times New Roman" w:eastAsia="仿宋"/>
                <w:sz w:val="21"/>
                <w:szCs w:val="21"/>
              </w:rPr>
              <w:t>≤700 ppm</w:t>
            </w:r>
            <w:r>
              <w:rPr>
                <w:rFonts w:ascii="Times New Roman" w:eastAsia="仿宋"/>
                <w:sz w:val="21"/>
                <w:szCs w:val="21"/>
              </w:rPr>
              <w:t>；餐饮区排风</w:t>
            </w:r>
            <w:r>
              <w:rPr>
                <w:rFonts w:ascii="Times New Roman" w:eastAsia="仿宋"/>
                <w:sz w:val="21"/>
                <w:szCs w:val="21"/>
              </w:rPr>
              <w:t>≥10 ACH</w:t>
            </w:r>
          </w:p>
        </w:tc>
      </w:tr>
      <w:tr w:rsidR="00D4394E" w14:paraId="2EFF9630" w14:textId="77777777">
        <w:trPr>
          <w:trHeight w:val="113"/>
        </w:trPr>
        <w:tc>
          <w:tcPr>
            <w:tcW w:w="328" w:type="pct"/>
            <w:tcMar>
              <w:left w:w="0" w:type="dxa"/>
              <w:right w:w="0" w:type="dxa"/>
            </w:tcMar>
            <w:vAlign w:val="center"/>
          </w:tcPr>
          <w:p w14:paraId="5F967407" w14:textId="77777777" w:rsidR="00D4394E" w:rsidRDefault="00000000">
            <w:pPr>
              <w:pStyle w:val="aff3"/>
              <w:rPr>
                <w:rFonts w:ascii="Times New Roman" w:eastAsia="仿宋"/>
                <w:sz w:val="21"/>
                <w:szCs w:val="21"/>
              </w:rPr>
            </w:pPr>
            <w:r>
              <w:rPr>
                <w:rFonts w:ascii="Times New Roman" w:eastAsia="仿宋"/>
                <w:sz w:val="21"/>
                <w:szCs w:val="21"/>
              </w:rPr>
              <w:t>17</w:t>
            </w:r>
          </w:p>
        </w:tc>
        <w:tc>
          <w:tcPr>
            <w:tcW w:w="604" w:type="pct"/>
            <w:tcMar>
              <w:left w:w="0" w:type="dxa"/>
              <w:right w:w="0" w:type="dxa"/>
            </w:tcMar>
            <w:vAlign w:val="center"/>
          </w:tcPr>
          <w:p w14:paraId="29EE06F0" w14:textId="77777777" w:rsidR="00D4394E" w:rsidRDefault="00000000">
            <w:pPr>
              <w:pStyle w:val="aff3"/>
              <w:rPr>
                <w:rFonts w:ascii="Times New Roman" w:eastAsia="仿宋"/>
                <w:sz w:val="21"/>
                <w:szCs w:val="21"/>
              </w:rPr>
            </w:pPr>
            <w:r>
              <w:rPr>
                <w:rFonts w:ascii="Times New Roman" w:eastAsia="仿宋"/>
                <w:sz w:val="21"/>
                <w:szCs w:val="21"/>
              </w:rPr>
              <w:t>美发沙龙</w:t>
            </w:r>
          </w:p>
        </w:tc>
        <w:tc>
          <w:tcPr>
            <w:tcW w:w="1621" w:type="pct"/>
            <w:tcMar>
              <w:left w:w="0" w:type="dxa"/>
              <w:right w:w="0" w:type="dxa"/>
            </w:tcMar>
            <w:vAlign w:val="center"/>
          </w:tcPr>
          <w:p w14:paraId="2B8CE939" w14:textId="77777777" w:rsidR="00D4394E" w:rsidRDefault="00000000">
            <w:pPr>
              <w:pStyle w:val="aff3"/>
              <w:jc w:val="both"/>
              <w:rPr>
                <w:rFonts w:ascii="Times New Roman" w:eastAsia="仿宋"/>
                <w:sz w:val="21"/>
                <w:szCs w:val="21"/>
              </w:rPr>
            </w:pPr>
            <w:r>
              <w:rPr>
                <w:rFonts w:ascii="Times New Roman" w:eastAsia="仿宋"/>
                <w:sz w:val="21"/>
                <w:szCs w:val="21"/>
              </w:rPr>
              <w:t>日本厚生劳动省《美容师法施行规则》（</w:t>
            </w:r>
            <w:r>
              <w:rPr>
                <w:rFonts w:ascii="Times New Roman" w:eastAsia="仿宋"/>
                <w:sz w:val="21"/>
                <w:szCs w:val="21"/>
              </w:rPr>
              <w:t>2023</w:t>
            </w:r>
            <w:r>
              <w:rPr>
                <w:rFonts w:ascii="Times New Roman" w:eastAsia="仿宋"/>
                <w:sz w:val="21"/>
                <w:szCs w:val="21"/>
              </w:rPr>
              <w:t>年修订）</w:t>
            </w:r>
          </w:p>
        </w:tc>
        <w:tc>
          <w:tcPr>
            <w:tcW w:w="2445" w:type="pct"/>
            <w:tcMar>
              <w:left w:w="0" w:type="dxa"/>
              <w:right w:w="0" w:type="dxa"/>
            </w:tcMar>
            <w:vAlign w:val="center"/>
          </w:tcPr>
          <w:p w14:paraId="57DC06D9" w14:textId="77777777" w:rsidR="00D4394E" w:rsidRDefault="00000000">
            <w:pPr>
              <w:pStyle w:val="aff3"/>
              <w:jc w:val="both"/>
              <w:rPr>
                <w:rFonts w:ascii="Times New Roman" w:eastAsia="仿宋"/>
                <w:sz w:val="21"/>
                <w:szCs w:val="21"/>
              </w:rPr>
            </w:pPr>
            <w:r>
              <w:rPr>
                <w:rFonts w:ascii="Times New Roman" w:eastAsia="仿宋"/>
                <w:sz w:val="21"/>
                <w:szCs w:val="21"/>
              </w:rPr>
              <w:t>工具一客一消毒（紫外线</w:t>
            </w:r>
            <w:r>
              <w:rPr>
                <w:rFonts w:ascii="Times New Roman" w:eastAsia="仿宋"/>
                <w:sz w:val="21"/>
                <w:szCs w:val="21"/>
              </w:rPr>
              <w:t>≥30</w:t>
            </w:r>
            <w:r>
              <w:rPr>
                <w:rFonts w:ascii="Times New Roman" w:eastAsia="仿宋"/>
                <w:sz w:val="21"/>
                <w:szCs w:val="21"/>
              </w:rPr>
              <w:t>分钟或消毒液浸泡）；染发区独立通风</w:t>
            </w:r>
            <w:r>
              <w:rPr>
                <w:rFonts w:ascii="Times New Roman" w:eastAsia="仿宋"/>
                <w:sz w:val="21"/>
                <w:szCs w:val="21"/>
              </w:rPr>
              <w:t>≥0.2 m/s</w:t>
            </w:r>
          </w:p>
        </w:tc>
      </w:tr>
      <w:tr w:rsidR="00D4394E" w14:paraId="3EE5913A" w14:textId="77777777">
        <w:tc>
          <w:tcPr>
            <w:tcW w:w="328" w:type="pct"/>
            <w:tcMar>
              <w:left w:w="0" w:type="dxa"/>
              <w:right w:w="0" w:type="dxa"/>
            </w:tcMar>
            <w:vAlign w:val="center"/>
          </w:tcPr>
          <w:p w14:paraId="1E3183BC" w14:textId="77777777" w:rsidR="00D4394E" w:rsidRDefault="00000000">
            <w:pPr>
              <w:pStyle w:val="aff3"/>
              <w:rPr>
                <w:rFonts w:ascii="Times New Roman" w:eastAsia="仿宋"/>
                <w:sz w:val="21"/>
                <w:szCs w:val="21"/>
              </w:rPr>
            </w:pPr>
            <w:r>
              <w:rPr>
                <w:rFonts w:ascii="Times New Roman" w:eastAsia="仿宋"/>
                <w:sz w:val="21"/>
                <w:szCs w:val="21"/>
              </w:rPr>
              <w:t>18</w:t>
            </w:r>
          </w:p>
        </w:tc>
        <w:tc>
          <w:tcPr>
            <w:tcW w:w="604" w:type="pct"/>
            <w:tcMar>
              <w:left w:w="0" w:type="dxa"/>
              <w:right w:w="0" w:type="dxa"/>
            </w:tcMar>
            <w:vAlign w:val="center"/>
          </w:tcPr>
          <w:p w14:paraId="6C978408" w14:textId="77777777" w:rsidR="00D4394E" w:rsidRDefault="00000000">
            <w:pPr>
              <w:pStyle w:val="aff3"/>
              <w:rPr>
                <w:rFonts w:ascii="Times New Roman" w:eastAsia="仿宋"/>
                <w:sz w:val="21"/>
                <w:szCs w:val="21"/>
              </w:rPr>
            </w:pPr>
            <w:r>
              <w:rPr>
                <w:rFonts w:ascii="Times New Roman" w:eastAsia="仿宋"/>
                <w:sz w:val="21"/>
                <w:szCs w:val="21"/>
              </w:rPr>
              <w:t>公共建筑噪音控制</w:t>
            </w:r>
          </w:p>
        </w:tc>
        <w:tc>
          <w:tcPr>
            <w:tcW w:w="1621" w:type="pct"/>
            <w:tcMar>
              <w:left w:w="0" w:type="dxa"/>
              <w:right w:w="0" w:type="dxa"/>
            </w:tcMar>
            <w:vAlign w:val="center"/>
          </w:tcPr>
          <w:p w14:paraId="0BB124B7" w14:textId="77777777" w:rsidR="00D4394E" w:rsidRDefault="00000000">
            <w:pPr>
              <w:pStyle w:val="aff3"/>
              <w:jc w:val="both"/>
              <w:rPr>
                <w:rFonts w:ascii="Times New Roman" w:eastAsia="仿宋"/>
                <w:b/>
                <w:bCs/>
                <w:sz w:val="21"/>
                <w:szCs w:val="21"/>
              </w:rPr>
            </w:pPr>
            <w:r>
              <w:rPr>
                <w:rFonts w:ascii="Times New Roman" w:eastAsia="仿宋"/>
                <w:sz w:val="21"/>
                <w:szCs w:val="21"/>
              </w:rPr>
              <w:t>WHO</w:t>
            </w:r>
            <w:r>
              <w:rPr>
                <w:rFonts w:ascii="Times New Roman" w:eastAsia="仿宋"/>
                <w:sz w:val="21"/>
                <w:szCs w:val="21"/>
              </w:rPr>
              <w:t>欧洲噪音指南</w:t>
            </w:r>
            <w:r>
              <w:rPr>
                <w:rFonts w:ascii="Times New Roman" w:eastAsia="仿宋"/>
                <w:sz w:val="21"/>
                <w:szCs w:val="21"/>
              </w:rPr>
              <w:t xml:space="preserve"> (2018)</w:t>
            </w:r>
          </w:p>
        </w:tc>
        <w:tc>
          <w:tcPr>
            <w:tcW w:w="2445" w:type="pct"/>
            <w:tcMar>
              <w:left w:w="0" w:type="dxa"/>
              <w:right w:w="0" w:type="dxa"/>
            </w:tcMar>
            <w:vAlign w:val="center"/>
          </w:tcPr>
          <w:p w14:paraId="25DA330F" w14:textId="77777777" w:rsidR="00D4394E" w:rsidRDefault="00000000">
            <w:pPr>
              <w:pStyle w:val="aff3"/>
              <w:jc w:val="both"/>
              <w:rPr>
                <w:rFonts w:ascii="Times New Roman" w:eastAsia="仿宋"/>
                <w:sz w:val="21"/>
                <w:szCs w:val="21"/>
              </w:rPr>
            </w:pPr>
            <w:r>
              <w:rPr>
                <w:rFonts w:ascii="Times New Roman" w:eastAsia="仿宋"/>
                <w:sz w:val="21"/>
                <w:szCs w:val="21"/>
              </w:rPr>
              <w:t>科学建议：夜间飞机噪音</w:t>
            </w:r>
            <w:r>
              <w:rPr>
                <w:rFonts w:ascii="Times New Roman" w:eastAsia="仿宋"/>
                <w:sz w:val="21"/>
                <w:szCs w:val="21"/>
              </w:rPr>
              <w:t>≤45 dB/</w:t>
            </w:r>
            <w:r>
              <w:rPr>
                <w:rFonts w:ascii="Times New Roman" w:eastAsia="仿宋"/>
                <w:sz w:val="21"/>
                <w:szCs w:val="21"/>
              </w:rPr>
              <w:t>道路交通</w:t>
            </w:r>
            <w:r>
              <w:rPr>
                <w:rFonts w:ascii="Times New Roman" w:eastAsia="仿宋"/>
                <w:sz w:val="21"/>
                <w:szCs w:val="21"/>
              </w:rPr>
              <w:t>≤53 dB</w:t>
            </w:r>
            <w:r>
              <w:rPr>
                <w:rFonts w:ascii="Times New Roman" w:eastAsia="仿宋"/>
                <w:sz w:val="21"/>
                <w:szCs w:val="21"/>
              </w:rPr>
              <w:t>（防心血管疾病）；建立</w:t>
            </w:r>
            <w:r>
              <w:rPr>
                <w:rFonts w:ascii="Times New Roman" w:eastAsia="仿宋"/>
                <w:sz w:val="21"/>
                <w:szCs w:val="21"/>
              </w:rPr>
              <w:t>"</w:t>
            </w:r>
            <w:r>
              <w:rPr>
                <w:rFonts w:ascii="Times New Roman" w:eastAsia="仿宋"/>
                <w:sz w:val="21"/>
                <w:szCs w:val="21"/>
              </w:rPr>
              <w:t>噪音档案</w:t>
            </w:r>
            <w:r>
              <w:rPr>
                <w:rFonts w:ascii="Times New Roman" w:eastAsia="仿宋"/>
                <w:sz w:val="21"/>
                <w:szCs w:val="21"/>
              </w:rPr>
              <w:t>"</w:t>
            </w:r>
            <w:r>
              <w:rPr>
                <w:rFonts w:ascii="Times New Roman" w:eastAsia="仿宋"/>
                <w:sz w:val="21"/>
                <w:szCs w:val="21"/>
              </w:rPr>
              <w:t>管理框架；纳入风力涡轮机及休闲噪音管控</w:t>
            </w:r>
          </w:p>
        </w:tc>
      </w:tr>
      <w:tr w:rsidR="00D4394E" w14:paraId="1DA92978" w14:textId="77777777">
        <w:tc>
          <w:tcPr>
            <w:tcW w:w="328" w:type="pct"/>
            <w:tcMar>
              <w:left w:w="0" w:type="dxa"/>
              <w:right w:w="0" w:type="dxa"/>
            </w:tcMar>
            <w:vAlign w:val="center"/>
          </w:tcPr>
          <w:p w14:paraId="0801428E" w14:textId="77777777" w:rsidR="00D4394E" w:rsidRDefault="00000000">
            <w:pPr>
              <w:pStyle w:val="aff3"/>
              <w:rPr>
                <w:rFonts w:ascii="Times New Roman" w:eastAsia="仿宋"/>
                <w:sz w:val="21"/>
                <w:szCs w:val="21"/>
              </w:rPr>
            </w:pPr>
            <w:r>
              <w:rPr>
                <w:rFonts w:ascii="Times New Roman" w:eastAsia="仿宋"/>
                <w:sz w:val="21"/>
                <w:szCs w:val="21"/>
              </w:rPr>
              <w:t>19</w:t>
            </w:r>
          </w:p>
        </w:tc>
        <w:tc>
          <w:tcPr>
            <w:tcW w:w="604" w:type="pct"/>
            <w:tcMar>
              <w:left w:w="0" w:type="dxa"/>
              <w:right w:w="0" w:type="dxa"/>
            </w:tcMar>
            <w:vAlign w:val="center"/>
          </w:tcPr>
          <w:p w14:paraId="3362E4F4" w14:textId="77777777" w:rsidR="00D4394E" w:rsidRDefault="00000000">
            <w:pPr>
              <w:pStyle w:val="aff3"/>
              <w:rPr>
                <w:rFonts w:ascii="Times New Roman" w:eastAsia="仿宋"/>
                <w:sz w:val="21"/>
                <w:szCs w:val="21"/>
              </w:rPr>
            </w:pPr>
            <w:r>
              <w:rPr>
                <w:rFonts w:ascii="Times New Roman" w:eastAsia="仿宋" w:hint="eastAsia"/>
                <w:sz w:val="21"/>
                <w:szCs w:val="21"/>
              </w:rPr>
              <w:t>娱乐场所</w:t>
            </w:r>
          </w:p>
        </w:tc>
        <w:tc>
          <w:tcPr>
            <w:tcW w:w="1621" w:type="pct"/>
            <w:tcMar>
              <w:left w:w="0" w:type="dxa"/>
              <w:right w:w="0" w:type="dxa"/>
            </w:tcMar>
            <w:vAlign w:val="center"/>
          </w:tcPr>
          <w:p w14:paraId="73F63449" w14:textId="77777777" w:rsidR="00D4394E" w:rsidRDefault="00000000">
            <w:pPr>
              <w:pStyle w:val="aff3"/>
              <w:jc w:val="both"/>
              <w:rPr>
                <w:rFonts w:ascii="Times New Roman" w:eastAsia="仿宋"/>
                <w:sz w:val="21"/>
                <w:szCs w:val="21"/>
              </w:rPr>
            </w:pPr>
            <w:r>
              <w:rPr>
                <w:rFonts w:ascii="Times New Roman" w:eastAsia="仿宋" w:hint="eastAsia"/>
                <w:sz w:val="21"/>
                <w:szCs w:val="21"/>
              </w:rPr>
              <w:t>新加披《娱乐场所减少噪音指南》</w:t>
            </w:r>
          </w:p>
        </w:tc>
        <w:tc>
          <w:tcPr>
            <w:tcW w:w="2445" w:type="pct"/>
            <w:tcMar>
              <w:left w:w="0" w:type="dxa"/>
              <w:right w:w="0" w:type="dxa"/>
            </w:tcMar>
            <w:vAlign w:val="center"/>
          </w:tcPr>
          <w:p w14:paraId="4740D7F2" w14:textId="77777777" w:rsidR="00D4394E" w:rsidRDefault="00000000">
            <w:pPr>
              <w:pStyle w:val="aff3"/>
              <w:jc w:val="both"/>
              <w:rPr>
                <w:rFonts w:ascii="Times New Roman" w:eastAsia="仿宋"/>
                <w:sz w:val="21"/>
                <w:szCs w:val="21"/>
              </w:rPr>
            </w:pPr>
            <w:r>
              <w:rPr>
                <w:rFonts w:ascii="Times New Roman" w:eastAsia="仿宋"/>
                <w:sz w:val="21"/>
                <w:szCs w:val="21"/>
              </w:rPr>
              <w:t>1.</w:t>
            </w:r>
            <w:r>
              <w:rPr>
                <w:rFonts w:ascii="Times New Roman" w:eastAsia="仿宋" w:hint="eastAsia"/>
                <w:sz w:val="21"/>
                <w:szCs w:val="21"/>
              </w:rPr>
              <w:t>明确要求不应对附近的住宅或商业楼宇造成噪音滋扰；</w:t>
            </w:r>
            <w:r>
              <w:rPr>
                <w:rFonts w:ascii="Times New Roman" w:eastAsia="仿宋" w:hint="eastAsia"/>
                <w:sz w:val="21"/>
                <w:szCs w:val="21"/>
              </w:rPr>
              <w:t>2.</w:t>
            </w:r>
            <w:r>
              <w:rPr>
                <w:rFonts w:ascii="Times New Roman" w:eastAsia="仿宋" w:hint="eastAsia"/>
                <w:sz w:val="21"/>
                <w:szCs w:val="21"/>
              </w:rPr>
              <w:t>应安装声音限制器；</w:t>
            </w:r>
            <w:r>
              <w:rPr>
                <w:rFonts w:ascii="Times New Roman" w:eastAsia="仿宋" w:hint="eastAsia"/>
                <w:sz w:val="21"/>
                <w:szCs w:val="21"/>
              </w:rPr>
              <w:t>3.</w:t>
            </w:r>
            <w:r>
              <w:rPr>
                <w:rFonts w:ascii="Times New Roman" w:eastAsia="仿宋" w:hint="eastAsia"/>
                <w:sz w:val="21"/>
                <w:szCs w:val="21"/>
              </w:rPr>
              <w:t>扬声器定向放置，并远离场地角落；</w:t>
            </w:r>
            <w:r>
              <w:rPr>
                <w:rFonts w:ascii="Times New Roman" w:eastAsia="仿宋" w:hint="eastAsia"/>
                <w:sz w:val="21"/>
                <w:szCs w:val="21"/>
              </w:rPr>
              <w:t>4.</w:t>
            </w:r>
            <w:r>
              <w:rPr>
                <w:rFonts w:ascii="Times New Roman" w:eastAsia="仿宋" w:hint="eastAsia"/>
                <w:sz w:val="21"/>
                <w:szCs w:val="21"/>
              </w:rPr>
              <w:t>应考虑使用吸音和</w:t>
            </w:r>
            <w:r>
              <w:rPr>
                <w:rFonts w:ascii="Times New Roman" w:eastAsia="仿宋" w:hint="eastAsia"/>
                <w:sz w:val="21"/>
                <w:szCs w:val="21"/>
              </w:rPr>
              <w:t>/</w:t>
            </w:r>
            <w:r>
              <w:rPr>
                <w:rFonts w:ascii="Times New Roman" w:eastAsia="仿宋" w:hint="eastAsia"/>
                <w:sz w:val="21"/>
                <w:szCs w:val="21"/>
              </w:rPr>
              <w:t>或防震材料；</w:t>
            </w:r>
            <w:r>
              <w:rPr>
                <w:rFonts w:ascii="Times New Roman" w:eastAsia="仿宋" w:hint="eastAsia"/>
                <w:sz w:val="21"/>
                <w:szCs w:val="21"/>
              </w:rPr>
              <w:t>5.</w:t>
            </w:r>
            <w:r>
              <w:rPr>
                <w:rFonts w:ascii="Times New Roman" w:eastAsia="仿宋" w:hint="eastAsia"/>
                <w:sz w:val="21"/>
                <w:szCs w:val="21"/>
              </w:rPr>
              <w:t>应安装双层隔音玻璃窗和双层门等</w:t>
            </w:r>
          </w:p>
        </w:tc>
      </w:tr>
      <w:tr w:rsidR="00D4394E" w14:paraId="00F86F4C" w14:textId="77777777">
        <w:tc>
          <w:tcPr>
            <w:tcW w:w="328" w:type="pct"/>
            <w:tcMar>
              <w:left w:w="0" w:type="dxa"/>
              <w:right w:w="0" w:type="dxa"/>
            </w:tcMar>
            <w:vAlign w:val="center"/>
          </w:tcPr>
          <w:p w14:paraId="7DA8B02A" w14:textId="77777777" w:rsidR="00D4394E" w:rsidRDefault="00000000">
            <w:pPr>
              <w:pStyle w:val="aff3"/>
              <w:rPr>
                <w:rFonts w:ascii="Times New Roman" w:eastAsia="仿宋"/>
                <w:sz w:val="21"/>
                <w:szCs w:val="21"/>
              </w:rPr>
            </w:pPr>
            <w:r>
              <w:rPr>
                <w:rFonts w:ascii="Times New Roman" w:eastAsia="仿宋" w:hint="eastAsia"/>
                <w:sz w:val="21"/>
                <w:szCs w:val="21"/>
              </w:rPr>
              <w:t>20</w:t>
            </w:r>
          </w:p>
        </w:tc>
        <w:tc>
          <w:tcPr>
            <w:tcW w:w="604" w:type="pct"/>
            <w:tcMar>
              <w:left w:w="0" w:type="dxa"/>
              <w:right w:w="0" w:type="dxa"/>
            </w:tcMar>
            <w:vAlign w:val="center"/>
          </w:tcPr>
          <w:p w14:paraId="4B7B37B7" w14:textId="77777777" w:rsidR="00D4394E" w:rsidRDefault="00000000">
            <w:pPr>
              <w:pStyle w:val="aff3"/>
              <w:rPr>
                <w:rFonts w:ascii="Times New Roman" w:eastAsia="仿宋"/>
                <w:sz w:val="21"/>
                <w:szCs w:val="21"/>
              </w:rPr>
            </w:pPr>
            <w:r>
              <w:rPr>
                <w:rFonts w:ascii="Times New Roman" w:eastAsia="仿宋"/>
                <w:sz w:val="21"/>
                <w:szCs w:val="21"/>
              </w:rPr>
              <w:t>图书馆</w:t>
            </w:r>
            <w:r>
              <w:rPr>
                <w:rFonts w:ascii="Times New Roman" w:eastAsia="仿宋"/>
                <w:sz w:val="21"/>
                <w:szCs w:val="21"/>
              </w:rPr>
              <w:t>/</w:t>
            </w:r>
            <w:r>
              <w:rPr>
                <w:rFonts w:ascii="Times New Roman" w:eastAsia="仿宋"/>
                <w:sz w:val="21"/>
                <w:szCs w:val="21"/>
              </w:rPr>
              <w:t>博物馆</w:t>
            </w:r>
          </w:p>
        </w:tc>
        <w:tc>
          <w:tcPr>
            <w:tcW w:w="1621" w:type="pct"/>
            <w:tcMar>
              <w:left w:w="0" w:type="dxa"/>
              <w:right w:w="0" w:type="dxa"/>
            </w:tcMar>
            <w:vAlign w:val="center"/>
          </w:tcPr>
          <w:p w14:paraId="51153614" w14:textId="77777777" w:rsidR="00D4394E" w:rsidRDefault="00000000">
            <w:pPr>
              <w:pStyle w:val="aff3"/>
              <w:jc w:val="both"/>
              <w:rPr>
                <w:rFonts w:ascii="Times New Roman" w:eastAsia="仿宋"/>
                <w:b/>
                <w:bCs/>
                <w:sz w:val="21"/>
                <w:szCs w:val="21"/>
              </w:rPr>
            </w:pPr>
            <w:r>
              <w:rPr>
                <w:rFonts w:ascii="Times New Roman" w:eastAsia="仿宋"/>
                <w:sz w:val="21"/>
                <w:szCs w:val="21"/>
              </w:rPr>
              <w:t>日本《建筑基准法施行令》</w:t>
            </w:r>
          </w:p>
        </w:tc>
        <w:tc>
          <w:tcPr>
            <w:tcW w:w="2445" w:type="pct"/>
            <w:tcMar>
              <w:left w:w="0" w:type="dxa"/>
              <w:right w:w="0" w:type="dxa"/>
            </w:tcMar>
            <w:vAlign w:val="center"/>
          </w:tcPr>
          <w:p w14:paraId="35C88BDC" w14:textId="77777777" w:rsidR="00D4394E" w:rsidRDefault="00000000">
            <w:pPr>
              <w:pStyle w:val="aff3"/>
              <w:jc w:val="both"/>
              <w:rPr>
                <w:rFonts w:ascii="Times New Roman" w:eastAsia="仿宋"/>
                <w:sz w:val="21"/>
                <w:szCs w:val="21"/>
              </w:rPr>
            </w:pPr>
            <w:r>
              <w:rPr>
                <w:rFonts w:ascii="Times New Roman" w:eastAsia="仿宋"/>
                <w:sz w:val="21"/>
                <w:szCs w:val="21"/>
              </w:rPr>
              <w:t xml:space="preserve">- </w:t>
            </w:r>
            <w:r>
              <w:rPr>
                <w:rFonts w:ascii="Times New Roman" w:eastAsia="仿宋"/>
                <w:sz w:val="21"/>
                <w:szCs w:val="21"/>
              </w:rPr>
              <w:t>疏散主通道</w:t>
            </w:r>
            <w:r>
              <w:rPr>
                <w:rFonts w:ascii="Times New Roman" w:eastAsia="仿宋"/>
                <w:sz w:val="21"/>
                <w:szCs w:val="21"/>
              </w:rPr>
              <w:t>≥1.8</w:t>
            </w:r>
            <w:r>
              <w:rPr>
                <w:rFonts w:ascii="Times New Roman" w:eastAsia="仿宋"/>
                <w:sz w:val="21"/>
                <w:szCs w:val="21"/>
              </w:rPr>
              <w:t>米（法律强制）</w:t>
            </w:r>
          </w:p>
          <w:p w14:paraId="69AA54A8" w14:textId="77777777" w:rsidR="00D4394E" w:rsidRDefault="00000000">
            <w:pPr>
              <w:pStyle w:val="aff3"/>
              <w:jc w:val="both"/>
              <w:rPr>
                <w:rFonts w:ascii="Times New Roman" w:eastAsia="仿宋"/>
                <w:sz w:val="21"/>
                <w:szCs w:val="21"/>
              </w:rPr>
            </w:pPr>
            <w:r>
              <w:rPr>
                <w:rFonts w:ascii="Times New Roman" w:eastAsia="仿宋"/>
                <w:sz w:val="21"/>
                <w:szCs w:val="21"/>
              </w:rPr>
              <w:t xml:space="preserve">- </w:t>
            </w:r>
            <w:r>
              <w:rPr>
                <w:rFonts w:ascii="Times New Roman" w:eastAsia="仿宋"/>
                <w:sz w:val="21"/>
                <w:szCs w:val="21"/>
              </w:rPr>
              <w:t>书架间距</w:t>
            </w:r>
            <w:r>
              <w:rPr>
                <w:rFonts w:ascii="Times New Roman" w:eastAsia="仿宋"/>
                <w:sz w:val="21"/>
                <w:szCs w:val="21"/>
              </w:rPr>
              <w:t>≥1.2</w:t>
            </w:r>
            <w:r>
              <w:rPr>
                <w:rFonts w:ascii="Times New Roman" w:eastAsia="仿宋"/>
                <w:sz w:val="21"/>
                <w:szCs w:val="21"/>
              </w:rPr>
              <w:t>米（防震建议）</w:t>
            </w:r>
          </w:p>
          <w:p w14:paraId="467E93C9" w14:textId="77777777" w:rsidR="00D4394E" w:rsidRDefault="00000000">
            <w:pPr>
              <w:pStyle w:val="aff3"/>
              <w:jc w:val="both"/>
              <w:rPr>
                <w:rFonts w:ascii="Times New Roman" w:eastAsia="仿宋"/>
                <w:sz w:val="21"/>
                <w:szCs w:val="21"/>
              </w:rPr>
            </w:pPr>
            <w:r>
              <w:rPr>
                <w:rFonts w:ascii="Times New Roman" w:eastAsia="仿宋"/>
                <w:sz w:val="21"/>
                <w:szCs w:val="21"/>
              </w:rPr>
              <w:lastRenderedPageBreak/>
              <w:t>- CO</w:t>
            </w:r>
            <w:r>
              <w:rPr>
                <w:rFonts w:ascii="Times New Roman" w:eastAsia="仿宋"/>
                <w:sz w:val="21"/>
                <w:szCs w:val="21"/>
              </w:rPr>
              <w:t>高风险区装探测器（</w:t>
            </w:r>
            <w:r>
              <w:rPr>
                <w:rFonts w:ascii="Times New Roman" w:eastAsia="仿宋"/>
                <w:sz w:val="21"/>
                <w:szCs w:val="21"/>
              </w:rPr>
              <w:t>≥50 ppm</w:t>
            </w:r>
            <w:r>
              <w:rPr>
                <w:rFonts w:ascii="Times New Roman" w:eastAsia="仿宋"/>
                <w:sz w:val="21"/>
                <w:szCs w:val="21"/>
              </w:rPr>
              <w:t>联动报警，法律强制）</w:t>
            </w:r>
          </w:p>
        </w:tc>
      </w:tr>
      <w:tr w:rsidR="00D4394E" w14:paraId="1AA2CC12" w14:textId="77777777">
        <w:tc>
          <w:tcPr>
            <w:tcW w:w="328" w:type="pct"/>
            <w:tcMar>
              <w:left w:w="0" w:type="dxa"/>
              <w:right w:w="0" w:type="dxa"/>
            </w:tcMar>
            <w:vAlign w:val="center"/>
          </w:tcPr>
          <w:p w14:paraId="55D271F4" w14:textId="77777777" w:rsidR="00D4394E" w:rsidRDefault="00000000">
            <w:pPr>
              <w:pStyle w:val="aff3"/>
              <w:rPr>
                <w:rFonts w:ascii="Times New Roman" w:eastAsia="仿宋"/>
                <w:sz w:val="21"/>
                <w:szCs w:val="21"/>
              </w:rPr>
            </w:pPr>
            <w:r>
              <w:rPr>
                <w:rFonts w:ascii="Times New Roman" w:eastAsia="仿宋" w:hint="eastAsia"/>
                <w:sz w:val="21"/>
                <w:szCs w:val="21"/>
              </w:rPr>
              <w:lastRenderedPageBreak/>
              <w:t>21</w:t>
            </w:r>
          </w:p>
        </w:tc>
        <w:tc>
          <w:tcPr>
            <w:tcW w:w="604" w:type="pct"/>
            <w:tcMar>
              <w:left w:w="0" w:type="dxa"/>
              <w:right w:w="0" w:type="dxa"/>
            </w:tcMar>
            <w:vAlign w:val="center"/>
          </w:tcPr>
          <w:p w14:paraId="056A7217" w14:textId="77777777" w:rsidR="00D4394E" w:rsidRDefault="00000000">
            <w:pPr>
              <w:pStyle w:val="aff3"/>
              <w:rPr>
                <w:rFonts w:ascii="Times New Roman" w:eastAsia="仿宋"/>
                <w:sz w:val="21"/>
                <w:szCs w:val="21"/>
              </w:rPr>
            </w:pPr>
            <w:r>
              <w:rPr>
                <w:rFonts w:ascii="Times New Roman" w:eastAsia="仿宋"/>
                <w:sz w:val="21"/>
                <w:szCs w:val="21"/>
              </w:rPr>
              <w:t>图书馆</w:t>
            </w:r>
            <w:r>
              <w:rPr>
                <w:rFonts w:ascii="Times New Roman" w:eastAsia="仿宋"/>
                <w:sz w:val="21"/>
                <w:szCs w:val="21"/>
              </w:rPr>
              <w:t>/</w:t>
            </w:r>
            <w:r>
              <w:rPr>
                <w:rFonts w:ascii="Times New Roman" w:eastAsia="仿宋"/>
                <w:sz w:val="21"/>
                <w:szCs w:val="21"/>
              </w:rPr>
              <w:t>博物馆</w:t>
            </w:r>
          </w:p>
        </w:tc>
        <w:tc>
          <w:tcPr>
            <w:tcW w:w="1621" w:type="pct"/>
            <w:tcMar>
              <w:left w:w="0" w:type="dxa"/>
              <w:right w:w="0" w:type="dxa"/>
            </w:tcMar>
            <w:vAlign w:val="center"/>
          </w:tcPr>
          <w:p w14:paraId="5FA79021" w14:textId="77777777" w:rsidR="00D4394E" w:rsidRDefault="00000000">
            <w:pPr>
              <w:pStyle w:val="aff3"/>
              <w:jc w:val="both"/>
              <w:rPr>
                <w:rFonts w:ascii="Times New Roman" w:eastAsia="仿宋"/>
                <w:sz w:val="21"/>
                <w:szCs w:val="21"/>
              </w:rPr>
            </w:pPr>
            <w:r>
              <w:rPr>
                <w:rFonts w:ascii="Times New Roman" w:eastAsia="仿宋"/>
                <w:sz w:val="21"/>
                <w:szCs w:val="21"/>
              </w:rPr>
              <w:t>德国标准：《住宅通风标准》（</w:t>
            </w:r>
            <w:r>
              <w:rPr>
                <w:rFonts w:ascii="Times New Roman" w:eastAsia="仿宋"/>
                <w:sz w:val="21"/>
                <w:szCs w:val="21"/>
              </w:rPr>
              <w:t>DIN 1946-6:2023</w:t>
            </w:r>
            <w:r>
              <w:rPr>
                <w:rFonts w:ascii="Times New Roman" w:eastAsia="仿宋"/>
                <w:sz w:val="21"/>
                <w:szCs w:val="21"/>
              </w:rPr>
              <w:t>）；《通风系统卫生要求》（</w:t>
            </w:r>
            <w:r>
              <w:rPr>
                <w:rFonts w:ascii="Times New Roman" w:eastAsia="仿宋"/>
                <w:sz w:val="21"/>
                <w:szCs w:val="21"/>
              </w:rPr>
              <w:t>VDI 6022-1:2018</w:t>
            </w:r>
            <w:r>
              <w:rPr>
                <w:rFonts w:ascii="Times New Roman" w:eastAsia="仿宋"/>
                <w:sz w:val="21"/>
                <w:szCs w:val="21"/>
              </w:rPr>
              <w:t>）；《图书馆建设规划要求》（</w:t>
            </w:r>
            <w:r>
              <w:rPr>
                <w:rFonts w:ascii="Times New Roman" w:eastAsia="仿宋"/>
                <w:sz w:val="21"/>
                <w:szCs w:val="21"/>
              </w:rPr>
              <w:t>DIN 67700-1:2018</w:t>
            </w:r>
            <w:r>
              <w:rPr>
                <w:rFonts w:ascii="Times New Roman" w:eastAsia="仿宋"/>
                <w:sz w:val="21"/>
                <w:szCs w:val="21"/>
              </w:rPr>
              <w:t>）</w:t>
            </w:r>
          </w:p>
        </w:tc>
        <w:tc>
          <w:tcPr>
            <w:tcW w:w="2445" w:type="pct"/>
            <w:tcMar>
              <w:left w:w="0" w:type="dxa"/>
              <w:right w:w="0" w:type="dxa"/>
            </w:tcMar>
            <w:vAlign w:val="center"/>
          </w:tcPr>
          <w:p w14:paraId="3A512F89" w14:textId="77777777" w:rsidR="00D4394E" w:rsidRDefault="00000000">
            <w:pPr>
              <w:pStyle w:val="aff0"/>
              <w:ind w:firstLineChars="0" w:firstLine="0"/>
              <w:rPr>
                <w:rFonts w:ascii="Times New Roman" w:eastAsia="仿宋"/>
                <w:szCs w:val="21"/>
              </w:rPr>
            </w:pPr>
            <w:r>
              <w:rPr>
                <w:rFonts w:ascii="Times New Roman" w:eastAsia="仿宋"/>
                <w:szCs w:val="21"/>
              </w:rPr>
              <w:t xml:space="preserve">- </w:t>
            </w:r>
            <w:r>
              <w:rPr>
                <w:rFonts w:ascii="Times New Roman" w:eastAsia="仿宋"/>
                <w:szCs w:val="21"/>
              </w:rPr>
              <w:t>新风量</w:t>
            </w:r>
            <w:r>
              <w:rPr>
                <w:rFonts w:ascii="Times New Roman" w:eastAsia="仿宋"/>
                <w:szCs w:val="21"/>
              </w:rPr>
              <w:t>≥30 m³/(h·</w:t>
            </w:r>
            <w:r>
              <w:rPr>
                <w:rFonts w:ascii="Times New Roman" w:eastAsia="仿宋"/>
                <w:szCs w:val="21"/>
              </w:rPr>
              <w:t>人</w:t>
            </w:r>
            <w:r>
              <w:rPr>
                <w:rFonts w:ascii="Times New Roman" w:eastAsia="仿宋"/>
                <w:szCs w:val="21"/>
              </w:rPr>
              <w:t>)</w:t>
            </w:r>
          </w:p>
          <w:p w14:paraId="579963AC" w14:textId="77777777" w:rsidR="00D4394E" w:rsidRDefault="00000000">
            <w:pPr>
              <w:pStyle w:val="aff3"/>
              <w:ind w:left="210" w:hangingChars="100" w:hanging="210"/>
              <w:jc w:val="both"/>
              <w:rPr>
                <w:rFonts w:ascii="Times New Roman" w:eastAsia="仿宋"/>
                <w:sz w:val="21"/>
                <w:szCs w:val="21"/>
              </w:rPr>
            </w:pPr>
            <w:r>
              <w:rPr>
                <w:rFonts w:ascii="Times New Roman" w:eastAsia="仿宋"/>
                <w:sz w:val="21"/>
                <w:szCs w:val="21"/>
              </w:rPr>
              <w:t xml:space="preserve">- </w:t>
            </w:r>
            <w:r>
              <w:rPr>
                <w:rFonts w:ascii="Times New Roman" w:eastAsia="仿宋"/>
                <w:sz w:val="21"/>
                <w:szCs w:val="21"/>
              </w:rPr>
              <w:t>博物馆真菌孢子</w:t>
            </w:r>
            <w:r>
              <w:rPr>
                <w:rFonts w:ascii="Times New Roman" w:eastAsia="仿宋"/>
                <w:sz w:val="21"/>
                <w:szCs w:val="21"/>
              </w:rPr>
              <w:t>≤500 CFU/m³</w:t>
            </w:r>
            <w:r>
              <w:rPr>
                <w:rFonts w:ascii="Times New Roman" w:eastAsia="仿宋"/>
                <w:sz w:val="21"/>
                <w:szCs w:val="21"/>
              </w:rPr>
              <w:t>（</w:t>
            </w:r>
            <w:r>
              <w:rPr>
                <w:rFonts w:ascii="Times New Roman" w:eastAsia="仿宋"/>
                <w:sz w:val="21"/>
                <w:szCs w:val="21"/>
              </w:rPr>
              <w:t>VDI 6022</w:t>
            </w:r>
            <w:r>
              <w:rPr>
                <w:rFonts w:ascii="Times New Roman" w:eastAsia="仿宋"/>
                <w:sz w:val="21"/>
                <w:szCs w:val="21"/>
              </w:rPr>
              <w:t>推荐值，季度检测）</w:t>
            </w:r>
          </w:p>
          <w:p w14:paraId="3291B393" w14:textId="77777777" w:rsidR="00D4394E" w:rsidRDefault="00000000">
            <w:pPr>
              <w:pStyle w:val="aff3"/>
              <w:ind w:left="210" w:hangingChars="100" w:hanging="210"/>
              <w:jc w:val="both"/>
              <w:rPr>
                <w:rFonts w:ascii="Times New Roman" w:eastAsia="仿宋"/>
                <w:sz w:val="21"/>
                <w:szCs w:val="21"/>
              </w:rPr>
            </w:pPr>
            <w:r>
              <w:rPr>
                <w:rFonts w:ascii="Times New Roman" w:eastAsia="仿宋"/>
                <w:sz w:val="21"/>
                <w:szCs w:val="21"/>
              </w:rPr>
              <w:t xml:space="preserve">- </w:t>
            </w:r>
            <w:r>
              <w:rPr>
                <w:rFonts w:ascii="Times New Roman" w:eastAsia="仿宋"/>
                <w:sz w:val="21"/>
                <w:szCs w:val="21"/>
              </w:rPr>
              <w:t>阅览区照度</w:t>
            </w:r>
            <w:r>
              <w:rPr>
                <w:rFonts w:ascii="Times New Roman" w:eastAsia="仿宋"/>
                <w:sz w:val="21"/>
                <w:szCs w:val="21"/>
              </w:rPr>
              <w:t>200-500 lux</w:t>
            </w:r>
            <w:r>
              <w:rPr>
                <w:rFonts w:ascii="Times New Roman" w:eastAsia="仿宋"/>
                <w:sz w:val="21"/>
                <w:szCs w:val="21"/>
              </w:rPr>
              <w:t>（</w:t>
            </w:r>
            <w:r>
              <w:rPr>
                <w:rFonts w:ascii="Times New Roman" w:eastAsia="仿宋"/>
                <w:sz w:val="21"/>
                <w:szCs w:val="21"/>
              </w:rPr>
              <w:t>DIN 67700</w:t>
            </w:r>
            <w:r>
              <w:rPr>
                <w:rFonts w:ascii="Times New Roman" w:eastAsia="仿宋"/>
                <w:sz w:val="21"/>
                <w:szCs w:val="21"/>
              </w:rPr>
              <w:t>引用</w:t>
            </w:r>
            <w:r>
              <w:rPr>
                <w:rFonts w:ascii="Times New Roman" w:eastAsia="仿宋"/>
                <w:sz w:val="21"/>
                <w:szCs w:val="21"/>
              </w:rPr>
              <w:t>EN 12464-1</w:t>
            </w:r>
            <w:r>
              <w:rPr>
                <w:rFonts w:ascii="Times New Roman" w:eastAsia="仿宋"/>
                <w:sz w:val="21"/>
                <w:szCs w:val="21"/>
              </w:rPr>
              <w:t>）</w:t>
            </w:r>
          </w:p>
        </w:tc>
      </w:tr>
      <w:tr w:rsidR="00D4394E" w14:paraId="58F2A379" w14:textId="77777777">
        <w:trPr>
          <w:trHeight w:val="278"/>
        </w:trPr>
        <w:tc>
          <w:tcPr>
            <w:tcW w:w="328" w:type="pct"/>
            <w:tcMar>
              <w:left w:w="0" w:type="dxa"/>
              <w:right w:w="0" w:type="dxa"/>
            </w:tcMar>
            <w:vAlign w:val="center"/>
          </w:tcPr>
          <w:p w14:paraId="727B94D2" w14:textId="77777777" w:rsidR="00D4394E" w:rsidRDefault="00000000">
            <w:pPr>
              <w:pStyle w:val="aff3"/>
              <w:rPr>
                <w:rFonts w:ascii="Times New Roman" w:eastAsia="仿宋"/>
                <w:sz w:val="21"/>
                <w:szCs w:val="21"/>
              </w:rPr>
            </w:pPr>
            <w:r>
              <w:rPr>
                <w:rFonts w:ascii="Times New Roman" w:eastAsia="仿宋" w:hint="eastAsia"/>
                <w:sz w:val="21"/>
                <w:szCs w:val="21"/>
              </w:rPr>
              <w:t>22</w:t>
            </w:r>
          </w:p>
        </w:tc>
        <w:tc>
          <w:tcPr>
            <w:tcW w:w="604" w:type="pct"/>
            <w:tcMar>
              <w:left w:w="0" w:type="dxa"/>
              <w:right w:w="0" w:type="dxa"/>
            </w:tcMar>
            <w:vAlign w:val="center"/>
          </w:tcPr>
          <w:p w14:paraId="0A0924AB" w14:textId="77777777" w:rsidR="00D4394E" w:rsidRDefault="00000000">
            <w:pPr>
              <w:pStyle w:val="aff3"/>
              <w:rPr>
                <w:rFonts w:ascii="Times New Roman" w:eastAsia="仿宋"/>
                <w:sz w:val="21"/>
                <w:szCs w:val="21"/>
              </w:rPr>
            </w:pPr>
            <w:r>
              <w:rPr>
                <w:rFonts w:ascii="Times New Roman" w:eastAsia="仿宋"/>
                <w:sz w:val="21"/>
                <w:szCs w:val="21"/>
              </w:rPr>
              <w:t>博物馆</w:t>
            </w:r>
            <w:r>
              <w:rPr>
                <w:rFonts w:ascii="Times New Roman" w:eastAsia="仿宋"/>
                <w:sz w:val="21"/>
                <w:szCs w:val="21"/>
              </w:rPr>
              <w:t>/</w:t>
            </w:r>
            <w:r>
              <w:rPr>
                <w:rFonts w:ascii="Times New Roman" w:eastAsia="仿宋"/>
                <w:sz w:val="21"/>
                <w:szCs w:val="21"/>
              </w:rPr>
              <w:t>剧院</w:t>
            </w:r>
          </w:p>
        </w:tc>
        <w:tc>
          <w:tcPr>
            <w:tcW w:w="1621" w:type="pct"/>
            <w:tcMar>
              <w:left w:w="0" w:type="dxa"/>
              <w:right w:w="0" w:type="dxa"/>
            </w:tcMar>
            <w:vAlign w:val="center"/>
          </w:tcPr>
          <w:p w14:paraId="1BD068A6" w14:textId="77777777" w:rsidR="00D4394E" w:rsidRDefault="00000000">
            <w:pPr>
              <w:pStyle w:val="aff3"/>
              <w:jc w:val="both"/>
              <w:rPr>
                <w:rFonts w:ascii="Times New Roman" w:eastAsia="仿宋"/>
                <w:sz w:val="21"/>
                <w:szCs w:val="21"/>
              </w:rPr>
            </w:pPr>
            <w:r>
              <w:rPr>
                <w:rFonts w:ascii="Times New Roman" w:eastAsia="仿宋"/>
                <w:sz w:val="21"/>
                <w:szCs w:val="21"/>
              </w:rPr>
              <w:t>英国健康安全管理局</w:t>
            </w:r>
            <w:r>
              <w:rPr>
                <w:rFonts w:ascii="Times New Roman" w:eastAsia="仿宋"/>
                <w:sz w:val="21"/>
                <w:szCs w:val="21"/>
              </w:rPr>
              <w:t xml:space="preserve"> </w:t>
            </w:r>
            <w:r>
              <w:rPr>
                <w:rFonts w:ascii="Times New Roman" w:eastAsia="仿宋"/>
                <w:sz w:val="21"/>
                <w:szCs w:val="21"/>
              </w:rPr>
              <w:t>《剧院及娱乐场所健康与安全指南》（</w:t>
            </w:r>
            <w:r>
              <w:rPr>
                <w:rFonts w:ascii="Times New Roman" w:eastAsia="仿宋"/>
                <w:sz w:val="21"/>
                <w:szCs w:val="21"/>
              </w:rPr>
              <w:t>HSG195</w:t>
            </w:r>
            <w:r>
              <w:rPr>
                <w:rFonts w:ascii="Times New Roman" w:eastAsia="仿宋"/>
                <w:sz w:val="21"/>
                <w:szCs w:val="21"/>
              </w:rPr>
              <w:t>）</w:t>
            </w:r>
          </w:p>
        </w:tc>
        <w:tc>
          <w:tcPr>
            <w:tcW w:w="2445" w:type="pct"/>
            <w:tcMar>
              <w:left w:w="0" w:type="dxa"/>
              <w:right w:w="0" w:type="dxa"/>
            </w:tcMar>
            <w:vAlign w:val="center"/>
          </w:tcPr>
          <w:p w14:paraId="254B6872" w14:textId="77777777" w:rsidR="00D4394E" w:rsidRDefault="00000000">
            <w:pPr>
              <w:pStyle w:val="aff3"/>
              <w:jc w:val="both"/>
              <w:rPr>
                <w:rFonts w:ascii="Times New Roman" w:eastAsia="仿宋"/>
                <w:sz w:val="21"/>
                <w:szCs w:val="21"/>
              </w:rPr>
            </w:pPr>
            <w:r>
              <w:rPr>
                <w:rFonts w:ascii="Times New Roman" w:eastAsia="仿宋"/>
                <w:sz w:val="21"/>
                <w:szCs w:val="21"/>
              </w:rPr>
              <w:t>疏散通道</w:t>
            </w:r>
            <w:r>
              <w:rPr>
                <w:rFonts w:ascii="Times New Roman" w:eastAsia="仿宋"/>
                <w:sz w:val="21"/>
                <w:szCs w:val="21"/>
              </w:rPr>
              <w:t>≥1.8</w:t>
            </w:r>
            <w:r>
              <w:rPr>
                <w:rFonts w:ascii="Times New Roman" w:eastAsia="仿宋"/>
                <w:sz w:val="21"/>
                <w:szCs w:val="21"/>
              </w:rPr>
              <w:t>米（法律强制）</w:t>
            </w:r>
          </w:p>
        </w:tc>
      </w:tr>
      <w:tr w:rsidR="00D4394E" w14:paraId="48A2C2C5" w14:textId="77777777">
        <w:trPr>
          <w:trHeight w:val="686"/>
        </w:trPr>
        <w:tc>
          <w:tcPr>
            <w:tcW w:w="328" w:type="pct"/>
            <w:tcMar>
              <w:left w:w="0" w:type="dxa"/>
              <w:right w:w="0" w:type="dxa"/>
            </w:tcMar>
            <w:vAlign w:val="center"/>
          </w:tcPr>
          <w:p w14:paraId="6F762C6D" w14:textId="77777777" w:rsidR="00D4394E" w:rsidRDefault="00000000">
            <w:pPr>
              <w:pStyle w:val="aff3"/>
              <w:rPr>
                <w:rFonts w:ascii="Times New Roman" w:eastAsia="仿宋"/>
                <w:sz w:val="21"/>
                <w:szCs w:val="21"/>
              </w:rPr>
            </w:pPr>
            <w:r>
              <w:rPr>
                <w:rFonts w:ascii="Times New Roman" w:eastAsia="仿宋" w:hint="eastAsia"/>
                <w:sz w:val="21"/>
                <w:szCs w:val="21"/>
              </w:rPr>
              <w:t>23</w:t>
            </w:r>
          </w:p>
        </w:tc>
        <w:tc>
          <w:tcPr>
            <w:tcW w:w="604" w:type="pct"/>
            <w:tcMar>
              <w:left w:w="0" w:type="dxa"/>
              <w:right w:w="0" w:type="dxa"/>
            </w:tcMar>
            <w:vAlign w:val="center"/>
          </w:tcPr>
          <w:p w14:paraId="239338C7" w14:textId="77777777" w:rsidR="00D4394E" w:rsidRDefault="00000000">
            <w:pPr>
              <w:pStyle w:val="aff3"/>
              <w:rPr>
                <w:rFonts w:ascii="Times New Roman" w:eastAsia="仿宋"/>
                <w:sz w:val="21"/>
                <w:szCs w:val="21"/>
              </w:rPr>
            </w:pPr>
            <w:r>
              <w:rPr>
                <w:rFonts w:ascii="Times New Roman" w:eastAsia="仿宋"/>
                <w:sz w:val="21"/>
                <w:szCs w:val="21"/>
              </w:rPr>
              <w:t>展览馆</w:t>
            </w:r>
            <w:r>
              <w:rPr>
                <w:rFonts w:ascii="Times New Roman" w:eastAsia="仿宋"/>
                <w:sz w:val="21"/>
                <w:szCs w:val="21"/>
              </w:rPr>
              <w:t>/</w:t>
            </w:r>
            <w:r>
              <w:rPr>
                <w:rFonts w:ascii="Times New Roman" w:eastAsia="仿宋"/>
                <w:sz w:val="21"/>
                <w:szCs w:val="21"/>
              </w:rPr>
              <w:t>录像厅</w:t>
            </w:r>
          </w:p>
        </w:tc>
        <w:tc>
          <w:tcPr>
            <w:tcW w:w="1621" w:type="pct"/>
            <w:tcMar>
              <w:left w:w="0" w:type="dxa"/>
              <w:right w:w="0" w:type="dxa"/>
            </w:tcMar>
            <w:vAlign w:val="center"/>
          </w:tcPr>
          <w:p w14:paraId="61F5E26A" w14:textId="77777777" w:rsidR="00D4394E" w:rsidRDefault="00000000">
            <w:pPr>
              <w:pStyle w:val="aff3"/>
              <w:jc w:val="both"/>
              <w:rPr>
                <w:rFonts w:ascii="Times New Roman" w:eastAsia="仿宋"/>
                <w:b/>
                <w:bCs/>
                <w:sz w:val="21"/>
                <w:szCs w:val="21"/>
              </w:rPr>
            </w:pPr>
            <w:r>
              <w:rPr>
                <w:rFonts w:ascii="Times New Roman" w:eastAsia="仿宋"/>
                <w:sz w:val="21"/>
                <w:szCs w:val="21"/>
              </w:rPr>
              <w:t>澳大利亚</w:t>
            </w:r>
            <w:r>
              <w:rPr>
                <w:rFonts w:ascii="Times New Roman" w:eastAsia="仿宋"/>
                <w:sz w:val="21"/>
                <w:szCs w:val="21"/>
              </w:rPr>
              <w:t>AS 1668.2:2021</w:t>
            </w:r>
          </w:p>
        </w:tc>
        <w:tc>
          <w:tcPr>
            <w:tcW w:w="2445" w:type="pct"/>
            <w:tcMar>
              <w:left w:w="0" w:type="dxa"/>
              <w:right w:w="0" w:type="dxa"/>
            </w:tcMar>
            <w:vAlign w:val="center"/>
          </w:tcPr>
          <w:p w14:paraId="30FBD839" w14:textId="77777777" w:rsidR="00D4394E" w:rsidRDefault="00000000">
            <w:pPr>
              <w:pStyle w:val="aff3"/>
              <w:jc w:val="both"/>
              <w:rPr>
                <w:rFonts w:ascii="Times New Roman" w:eastAsia="仿宋"/>
                <w:sz w:val="21"/>
                <w:szCs w:val="21"/>
              </w:rPr>
            </w:pPr>
            <w:r>
              <w:rPr>
                <w:rFonts w:ascii="Times New Roman" w:eastAsia="仿宋"/>
                <w:sz w:val="21"/>
                <w:szCs w:val="21"/>
              </w:rPr>
              <w:t>设计标准：</w:t>
            </w:r>
            <w:r>
              <w:rPr>
                <w:rFonts w:ascii="Times New Roman" w:eastAsia="仿宋"/>
                <w:sz w:val="21"/>
                <w:szCs w:val="21"/>
              </w:rPr>
              <w:t xml:space="preserve">PM₁₀≤50 </w:t>
            </w:r>
            <w:proofErr w:type="spellStart"/>
            <w:r>
              <w:rPr>
                <w:rFonts w:ascii="Times New Roman" w:eastAsia="仿宋"/>
                <w:sz w:val="21"/>
                <w:szCs w:val="21"/>
              </w:rPr>
              <w:t>μg</w:t>
            </w:r>
            <w:proofErr w:type="spellEnd"/>
            <w:r>
              <w:rPr>
                <w:rFonts w:ascii="Times New Roman" w:eastAsia="仿宋"/>
                <w:sz w:val="21"/>
                <w:szCs w:val="21"/>
              </w:rPr>
              <w:t>/m³</w:t>
            </w:r>
            <w:r>
              <w:rPr>
                <w:rFonts w:ascii="Times New Roman" w:eastAsia="仿宋"/>
                <w:sz w:val="21"/>
                <w:szCs w:val="21"/>
              </w:rPr>
              <w:t>（</w:t>
            </w:r>
            <w:r>
              <w:rPr>
                <w:rFonts w:ascii="Times New Roman" w:eastAsia="仿宋"/>
                <w:sz w:val="21"/>
                <w:szCs w:val="21"/>
              </w:rPr>
              <w:t>24h</w:t>
            </w:r>
            <w:r>
              <w:rPr>
                <w:rFonts w:ascii="Times New Roman" w:eastAsia="仿宋"/>
                <w:sz w:val="21"/>
                <w:szCs w:val="21"/>
              </w:rPr>
              <w:t>均值）；</w:t>
            </w:r>
            <w:r>
              <w:rPr>
                <w:rFonts w:ascii="Times New Roman" w:eastAsia="仿宋"/>
                <w:sz w:val="21"/>
                <w:szCs w:val="21"/>
              </w:rPr>
              <w:t>CO₂≤1000 ppm</w:t>
            </w:r>
            <w:r>
              <w:rPr>
                <w:rFonts w:ascii="Times New Roman" w:eastAsia="仿宋"/>
                <w:sz w:val="21"/>
                <w:szCs w:val="21"/>
              </w:rPr>
              <w:t>（通风依据）；实时监测联网为西澳</w:t>
            </w:r>
            <w:r>
              <w:rPr>
                <w:rFonts w:ascii="Times New Roman" w:eastAsia="仿宋"/>
                <w:sz w:val="21"/>
                <w:szCs w:val="21"/>
              </w:rPr>
              <w:t>/</w:t>
            </w:r>
            <w:r>
              <w:rPr>
                <w:rFonts w:ascii="Times New Roman" w:eastAsia="仿宋"/>
                <w:sz w:val="21"/>
                <w:szCs w:val="21"/>
              </w:rPr>
              <w:t>新州附加要求</w:t>
            </w:r>
          </w:p>
        </w:tc>
      </w:tr>
      <w:tr w:rsidR="00D4394E" w14:paraId="5FD70ACC" w14:textId="77777777">
        <w:tc>
          <w:tcPr>
            <w:tcW w:w="328" w:type="pct"/>
            <w:tcMar>
              <w:left w:w="0" w:type="dxa"/>
              <w:right w:w="0" w:type="dxa"/>
            </w:tcMar>
            <w:vAlign w:val="center"/>
          </w:tcPr>
          <w:p w14:paraId="2716E505" w14:textId="77777777" w:rsidR="00D4394E" w:rsidRDefault="00000000">
            <w:pPr>
              <w:pStyle w:val="aff3"/>
              <w:rPr>
                <w:rFonts w:ascii="Times New Roman" w:eastAsia="仿宋"/>
                <w:sz w:val="21"/>
                <w:szCs w:val="21"/>
              </w:rPr>
            </w:pPr>
            <w:r>
              <w:rPr>
                <w:rFonts w:ascii="Times New Roman" w:eastAsia="仿宋" w:hint="eastAsia"/>
                <w:sz w:val="21"/>
                <w:szCs w:val="21"/>
              </w:rPr>
              <w:t>24</w:t>
            </w:r>
          </w:p>
        </w:tc>
        <w:tc>
          <w:tcPr>
            <w:tcW w:w="604" w:type="pct"/>
            <w:tcMar>
              <w:left w:w="0" w:type="dxa"/>
              <w:right w:w="0" w:type="dxa"/>
            </w:tcMar>
            <w:vAlign w:val="center"/>
          </w:tcPr>
          <w:p w14:paraId="345CC869" w14:textId="77777777" w:rsidR="00D4394E" w:rsidRDefault="00000000">
            <w:pPr>
              <w:pStyle w:val="aff3"/>
              <w:rPr>
                <w:rFonts w:ascii="Times New Roman" w:eastAsia="仿宋"/>
                <w:sz w:val="21"/>
                <w:szCs w:val="21"/>
              </w:rPr>
            </w:pPr>
            <w:r>
              <w:rPr>
                <w:rFonts w:ascii="Times New Roman" w:eastAsia="仿宋"/>
                <w:sz w:val="21"/>
                <w:szCs w:val="21"/>
              </w:rPr>
              <w:t>美甲店</w:t>
            </w:r>
          </w:p>
        </w:tc>
        <w:tc>
          <w:tcPr>
            <w:tcW w:w="1621" w:type="pct"/>
            <w:tcMar>
              <w:left w:w="0" w:type="dxa"/>
              <w:right w:w="0" w:type="dxa"/>
            </w:tcMar>
            <w:vAlign w:val="center"/>
          </w:tcPr>
          <w:p w14:paraId="66812495" w14:textId="77777777" w:rsidR="00D4394E" w:rsidRDefault="00000000">
            <w:pPr>
              <w:pStyle w:val="aff3"/>
              <w:jc w:val="both"/>
              <w:rPr>
                <w:rFonts w:ascii="Times New Roman" w:eastAsia="仿宋"/>
                <w:b/>
                <w:bCs/>
                <w:sz w:val="21"/>
                <w:szCs w:val="21"/>
              </w:rPr>
            </w:pPr>
            <w:r>
              <w:rPr>
                <w:rFonts w:ascii="Times New Roman" w:eastAsia="仿宋"/>
                <w:sz w:val="21"/>
                <w:szCs w:val="21"/>
              </w:rPr>
              <w:t>美国</w:t>
            </w:r>
            <w:r>
              <w:rPr>
                <w:rFonts w:ascii="Times New Roman" w:eastAsia="仿宋"/>
                <w:sz w:val="21"/>
                <w:szCs w:val="21"/>
              </w:rPr>
              <w:t>NIOSH</w:t>
            </w:r>
            <w:r>
              <w:rPr>
                <w:rFonts w:ascii="Times New Roman" w:eastAsia="仿宋"/>
                <w:sz w:val="21"/>
                <w:szCs w:val="21"/>
              </w:rPr>
              <w:t>报告</w:t>
            </w:r>
            <w:r>
              <w:rPr>
                <w:rFonts w:ascii="Times New Roman" w:eastAsia="仿宋"/>
                <w:sz w:val="21"/>
                <w:szCs w:val="21"/>
              </w:rPr>
              <w:t xml:space="preserve"> (2012)</w:t>
            </w:r>
          </w:p>
        </w:tc>
        <w:tc>
          <w:tcPr>
            <w:tcW w:w="2445" w:type="pct"/>
            <w:tcMar>
              <w:left w:w="0" w:type="dxa"/>
              <w:right w:w="0" w:type="dxa"/>
            </w:tcMar>
            <w:vAlign w:val="center"/>
          </w:tcPr>
          <w:p w14:paraId="03654A10" w14:textId="77777777" w:rsidR="00D4394E" w:rsidRDefault="00000000">
            <w:pPr>
              <w:pStyle w:val="aff3"/>
              <w:jc w:val="both"/>
              <w:rPr>
                <w:rFonts w:ascii="Times New Roman" w:eastAsia="仿宋"/>
                <w:sz w:val="21"/>
                <w:szCs w:val="21"/>
              </w:rPr>
            </w:pPr>
            <w:r>
              <w:rPr>
                <w:rFonts w:ascii="Times New Roman" w:eastAsia="仿宋"/>
                <w:sz w:val="21"/>
                <w:szCs w:val="21"/>
              </w:rPr>
              <w:t>示踪气体法测试排风系统气流</w:t>
            </w:r>
            <w:r>
              <w:rPr>
                <w:rFonts w:ascii="Times New Roman" w:eastAsia="仿宋"/>
                <w:sz w:val="21"/>
                <w:szCs w:val="21"/>
              </w:rPr>
              <w:t>/</w:t>
            </w:r>
            <w:r>
              <w:rPr>
                <w:rFonts w:ascii="Times New Roman" w:eastAsia="仿宋"/>
                <w:sz w:val="21"/>
                <w:szCs w:val="21"/>
              </w:rPr>
              <w:t>捕获效率</w:t>
            </w:r>
            <w:r>
              <w:rPr>
                <w:rFonts w:ascii="Times New Roman" w:eastAsia="仿宋"/>
                <w:sz w:val="21"/>
                <w:szCs w:val="21"/>
              </w:rPr>
              <w:t>/</w:t>
            </w:r>
            <w:r>
              <w:rPr>
                <w:rFonts w:ascii="Times New Roman" w:eastAsia="仿宋"/>
                <w:sz w:val="21"/>
                <w:szCs w:val="21"/>
              </w:rPr>
              <w:t>噪音；提出通风优化方案控制溶剂暴露</w:t>
            </w:r>
          </w:p>
        </w:tc>
      </w:tr>
      <w:tr w:rsidR="00D4394E" w14:paraId="18E90A26" w14:textId="77777777">
        <w:tc>
          <w:tcPr>
            <w:tcW w:w="328" w:type="pct"/>
            <w:tcMar>
              <w:left w:w="0" w:type="dxa"/>
              <w:right w:w="0" w:type="dxa"/>
            </w:tcMar>
            <w:vAlign w:val="center"/>
          </w:tcPr>
          <w:p w14:paraId="57C61CC8" w14:textId="77777777" w:rsidR="00D4394E" w:rsidRDefault="00000000">
            <w:pPr>
              <w:pStyle w:val="aff3"/>
              <w:rPr>
                <w:rFonts w:ascii="Times New Roman" w:eastAsia="仿宋"/>
                <w:sz w:val="21"/>
                <w:szCs w:val="21"/>
              </w:rPr>
            </w:pPr>
            <w:r>
              <w:rPr>
                <w:rFonts w:ascii="Times New Roman" w:eastAsia="仿宋" w:hint="eastAsia"/>
                <w:sz w:val="21"/>
                <w:szCs w:val="21"/>
              </w:rPr>
              <w:t>25</w:t>
            </w:r>
          </w:p>
        </w:tc>
        <w:tc>
          <w:tcPr>
            <w:tcW w:w="604" w:type="pct"/>
            <w:tcMar>
              <w:left w:w="0" w:type="dxa"/>
              <w:right w:w="0" w:type="dxa"/>
            </w:tcMar>
            <w:vAlign w:val="center"/>
          </w:tcPr>
          <w:p w14:paraId="664B1B57" w14:textId="77777777" w:rsidR="00D4394E" w:rsidRDefault="00000000">
            <w:pPr>
              <w:pStyle w:val="aff3"/>
              <w:rPr>
                <w:rFonts w:ascii="Times New Roman" w:eastAsia="仿宋"/>
                <w:sz w:val="21"/>
                <w:szCs w:val="21"/>
              </w:rPr>
            </w:pPr>
            <w:r>
              <w:rPr>
                <w:rFonts w:ascii="Times New Roman" w:eastAsia="仿宋" w:hint="eastAsia"/>
                <w:sz w:val="21"/>
                <w:szCs w:val="21"/>
              </w:rPr>
              <w:t>手部卫生</w:t>
            </w:r>
          </w:p>
        </w:tc>
        <w:tc>
          <w:tcPr>
            <w:tcW w:w="1621" w:type="pct"/>
            <w:tcMar>
              <w:left w:w="0" w:type="dxa"/>
              <w:right w:w="0" w:type="dxa"/>
            </w:tcMar>
            <w:vAlign w:val="center"/>
          </w:tcPr>
          <w:p w14:paraId="6A64CE04" w14:textId="77777777" w:rsidR="00D4394E" w:rsidRDefault="00000000">
            <w:pPr>
              <w:pStyle w:val="aff3"/>
              <w:jc w:val="both"/>
              <w:rPr>
                <w:rFonts w:ascii="Times New Roman" w:eastAsia="仿宋"/>
                <w:sz w:val="21"/>
                <w:szCs w:val="21"/>
              </w:rPr>
            </w:pPr>
            <w:r>
              <w:rPr>
                <w:rFonts w:ascii="Times New Roman" w:eastAsia="仿宋" w:hint="eastAsia"/>
                <w:sz w:val="21"/>
                <w:szCs w:val="21"/>
              </w:rPr>
              <w:t>澳大利亚《国家手部卫生倡议实施指南》</w:t>
            </w:r>
          </w:p>
        </w:tc>
        <w:tc>
          <w:tcPr>
            <w:tcW w:w="2445" w:type="pct"/>
            <w:tcMar>
              <w:left w:w="0" w:type="dxa"/>
              <w:right w:w="0" w:type="dxa"/>
            </w:tcMar>
            <w:vAlign w:val="center"/>
          </w:tcPr>
          <w:p w14:paraId="3840617F" w14:textId="77777777" w:rsidR="00D4394E" w:rsidRDefault="00000000">
            <w:pPr>
              <w:pStyle w:val="aff3"/>
              <w:jc w:val="both"/>
              <w:rPr>
                <w:rFonts w:ascii="Times New Roman" w:eastAsia="仿宋"/>
                <w:sz w:val="21"/>
                <w:szCs w:val="21"/>
              </w:rPr>
            </w:pPr>
            <w:r>
              <w:rPr>
                <w:rFonts w:ascii="Times New Roman" w:eastAsia="仿宋" w:hint="eastAsia"/>
                <w:sz w:val="21"/>
                <w:szCs w:val="21"/>
              </w:rPr>
              <w:t>1.</w:t>
            </w:r>
            <w:r>
              <w:rPr>
                <w:rFonts w:ascii="Times New Roman" w:eastAsia="仿宋" w:hint="eastAsia"/>
                <w:sz w:val="21"/>
                <w:szCs w:val="21"/>
              </w:rPr>
              <w:t>对手部卫生和感染预防控制开展标准化教育培训；</w:t>
            </w:r>
            <w:r>
              <w:rPr>
                <w:rFonts w:ascii="Times New Roman" w:eastAsia="仿宋" w:hint="eastAsia"/>
                <w:sz w:val="21"/>
                <w:szCs w:val="21"/>
              </w:rPr>
              <w:t>2.</w:t>
            </w:r>
            <w:r>
              <w:rPr>
                <w:rFonts w:ascii="Times New Roman" w:eastAsia="仿宋" w:hint="eastAsia"/>
                <w:sz w:val="21"/>
                <w:szCs w:val="21"/>
              </w:rPr>
              <w:t>监测手部卫生依从性，提供改进方法；</w:t>
            </w:r>
            <w:r>
              <w:rPr>
                <w:rFonts w:ascii="Times New Roman" w:eastAsia="仿宋" w:hint="eastAsia"/>
                <w:sz w:val="21"/>
                <w:szCs w:val="21"/>
              </w:rPr>
              <w:t>3.</w:t>
            </w:r>
            <w:r>
              <w:rPr>
                <w:rFonts w:ascii="Times New Roman" w:eastAsia="仿宋" w:hint="eastAsia"/>
                <w:sz w:val="21"/>
                <w:szCs w:val="21"/>
              </w:rPr>
              <w:t>确定改善手部卫生目标</w:t>
            </w:r>
          </w:p>
        </w:tc>
      </w:tr>
      <w:tr w:rsidR="00D4394E" w14:paraId="08CC9277" w14:textId="77777777">
        <w:tc>
          <w:tcPr>
            <w:tcW w:w="328" w:type="pct"/>
            <w:tcMar>
              <w:left w:w="0" w:type="dxa"/>
              <w:right w:w="0" w:type="dxa"/>
            </w:tcMar>
            <w:vAlign w:val="center"/>
          </w:tcPr>
          <w:p w14:paraId="3F371272" w14:textId="77777777" w:rsidR="00D4394E" w:rsidRDefault="00000000">
            <w:pPr>
              <w:pStyle w:val="aff3"/>
              <w:rPr>
                <w:rFonts w:ascii="Times New Roman" w:eastAsia="仿宋"/>
                <w:sz w:val="21"/>
                <w:szCs w:val="21"/>
              </w:rPr>
            </w:pPr>
            <w:r>
              <w:rPr>
                <w:rFonts w:ascii="Times New Roman" w:eastAsia="仿宋" w:hint="eastAsia"/>
                <w:sz w:val="21"/>
                <w:szCs w:val="21"/>
              </w:rPr>
              <w:t>26</w:t>
            </w:r>
          </w:p>
        </w:tc>
        <w:tc>
          <w:tcPr>
            <w:tcW w:w="604" w:type="pct"/>
            <w:tcMar>
              <w:left w:w="0" w:type="dxa"/>
              <w:right w:w="0" w:type="dxa"/>
            </w:tcMar>
            <w:vAlign w:val="center"/>
          </w:tcPr>
          <w:p w14:paraId="3ECB738F" w14:textId="77777777" w:rsidR="00D4394E" w:rsidRDefault="00000000">
            <w:pPr>
              <w:pStyle w:val="aff3"/>
              <w:rPr>
                <w:rFonts w:ascii="Times New Roman" w:eastAsia="仿宋"/>
                <w:sz w:val="21"/>
                <w:szCs w:val="21"/>
              </w:rPr>
            </w:pPr>
            <w:r>
              <w:rPr>
                <w:rFonts w:ascii="Times New Roman" w:eastAsia="仿宋" w:hint="eastAsia"/>
                <w:sz w:val="21"/>
                <w:szCs w:val="21"/>
              </w:rPr>
              <w:t>从业人员</w:t>
            </w:r>
          </w:p>
        </w:tc>
        <w:tc>
          <w:tcPr>
            <w:tcW w:w="1621" w:type="pct"/>
            <w:tcMar>
              <w:left w:w="0" w:type="dxa"/>
              <w:right w:w="0" w:type="dxa"/>
            </w:tcMar>
            <w:vAlign w:val="center"/>
          </w:tcPr>
          <w:p w14:paraId="1E1D0E1E" w14:textId="77777777" w:rsidR="00D4394E" w:rsidRDefault="00000000">
            <w:pPr>
              <w:pStyle w:val="aff3"/>
              <w:jc w:val="both"/>
              <w:rPr>
                <w:rFonts w:ascii="Times New Roman" w:eastAsia="仿宋"/>
                <w:sz w:val="21"/>
                <w:szCs w:val="21"/>
              </w:rPr>
            </w:pPr>
            <w:r>
              <w:rPr>
                <w:rFonts w:ascii="Times New Roman" w:eastAsia="仿宋" w:hint="eastAsia"/>
                <w:sz w:val="21"/>
                <w:szCs w:val="21"/>
              </w:rPr>
              <w:t>加拿大《博物馆从业人员健康安全指南》</w:t>
            </w:r>
          </w:p>
        </w:tc>
        <w:tc>
          <w:tcPr>
            <w:tcW w:w="2445" w:type="pct"/>
            <w:tcMar>
              <w:left w:w="0" w:type="dxa"/>
              <w:right w:w="0" w:type="dxa"/>
            </w:tcMar>
            <w:vAlign w:val="center"/>
          </w:tcPr>
          <w:p w14:paraId="5BB34E38" w14:textId="77777777" w:rsidR="00D4394E" w:rsidRDefault="00000000">
            <w:pPr>
              <w:pStyle w:val="aff3"/>
              <w:jc w:val="both"/>
              <w:rPr>
                <w:rFonts w:ascii="Times New Roman" w:eastAsia="仿宋"/>
                <w:sz w:val="21"/>
                <w:szCs w:val="21"/>
              </w:rPr>
            </w:pPr>
            <w:r>
              <w:rPr>
                <w:rFonts w:ascii="Times New Roman" w:eastAsia="仿宋" w:hint="eastAsia"/>
                <w:sz w:val="21"/>
                <w:szCs w:val="21"/>
              </w:rPr>
              <w:t>为博物馆从业人员提供工作场所健康安全的基本知识和技能指南</w:t>
            </w:r>
          </w:p>
        </w:tc>
      </w:tr>
    </w:tbl>
    <w:p w14:paraId="2B1B83B9" w14:textId="77777777" w:rsidR="00D4394E" w:rsidRDefault="00D4394E">
      <w:pPr>
        <w:adjustRightInd w:val="0"/>
        <w:snapToGrid w:val="0"/>
        <w:spacing w:line="240" w:lineRule="auto"/>
        <w:ind w:firstLineChars="200" w:firstLine="480"/>
        <w:rPr>
          <w:rFonts w:cs="Times New Roman"/>
          <w:szCs w:val="24"/>
        </w:rPr>
      </w:pPr>
    </w:p>
    <w:p w14:paraId="5999154A"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其中部分资料参考发表文献（国内外公共场所环境健康风险评估体系比较研究，环境卫生学杂志，</w:t>
      </w:r>
      <w:r>
        <w:rPr>
          <w:rFonts w:cs="Times New Roman" w:hint="eastAsia"/>
          <w:szCs w:val="24"/>
        </w:rPr>
        <w:t>2</w:t>
      </w:r>
      <w:r>
        <w:rPr>
          <w:rFonts w:cs="Times New Roman"/>
          <w:szCs w:val="24"/>
        </w:rPr>
        <w:t>02</w:t>
      </w:r>
      <w:r>
        <w:rPr>
          <w:rFonts w:cs="Times New Roman" w:hint="eastAsia"/>
          <w:szCs w:val="24"/>
        </w:rPr>
        <w:t>6</w:t>
      </w:r>
      <w:r>
        <w:rPr>
          <w:rFonts w:cs="Times New Roman" w:hint="eastAsia"/>
          <w:szCs w:val="24"/>
        </w:rPr>
        <w:t>）。</w:t>
      </w:r>
    </w:p>
    <w:p w14:paraId="60D2A3DA" w14:textId="77777777" w:rsidR="00D4394E" w:rsidRDefault="00D4394E">
      <w:pPr>
        <w:adjustRightInd w:val="0"/>
        <w:snapToGrid w:val="0"/>
        <w:spacing w:line="240" w:lineRule="auto"/>
        <w:ind w:firstLineChars="200" w:firstLine="480"/>
        <w:rPr>
          <w:rFonts w:cs="Times New Roman"/>
          <w:szCs w:val="24"/>
        </w:rPr>
      </w:pPr>
    </w:p>
    <w:p w14:paraId="0BE4D896" w14:textId="77777777" w:rsidR="00D4394E" w:rsidRDefault="00000000">
      <w:pPr>
        <w:pStyle w:val="1"/>
        <w:spacing w:before="0" w:after="0"/>
        <w:rPr>
          <w:sz w:val="28"/>
        </w:rPr>
      </w:pPr>
      <w:bookmarkStart w:id="289" w:name="_Toc69553264"/>
      <w:bookmarkStart w:id="290" w:name="_Toc67407060"/>
      <w:bookmarkStart w:id="291" w:name="_Toc1943"/>
      <w:bookmarkStart w:id="292" w:name="_Toc93656998"/>
      <w:bookmarkStart w:id="293" w:name="_Toc436"/>
      <w:bookmarkStart w:id="294" w:name="_Toc19309"/>
      <w:bookmarkStart w:id="295" w:name="_Toc22156"/>
      <w:bookmarkStart w:id="296" w:name="_Toc9485"/>
      <w:bookmarkStart w:id="297" w:name="_Toc23416"/>
      <w:bookmarkStart w:id="298" w:name="_Toc21668"/>
      <w:bookmarkStart w:id="299" w:name="_Toc24676"/>
      <w:bookmarkStart w:id="300" w:name="_Toc28341"/>
      <w:bookmarkStart w:id="301" w:name="_Toc14271"/>
      <w:bookmarkStart w:id="302" w:name="_Toc3441"/>
      <w:bookmarkStart w:id="303" w:name="_Toc3962"/>
      <w:bookmarkStart w:id="304" w:name="_Toc21228"/>
      <w:bookmarkEnd w:id="86"/>
      <w:bookmarkEnd w:id="87"/>
      <w:bookmarkEnd w:id="88"/>
      <w:bookmarkEnd w:id="200"/>
      <w:r>
        <w:rPr>
          <w:rFonts w:hint="eastAsia"/>
          <w:sz w:val="28"/>
        </w:rPr>
        <w:t>五、重大分歧意见的处理经过、处理意见及其依</w:t>
      </w:r>
      <w:bookmarkEnd w:id="289"/>
      <w:bookmarkEnd w:id="290"/>
      <w:r>
        <w:rPr>
          <w:rFonts w:hint="eastAsia"/>
          <w:sz w:val="28"/>
        </w:rPr>
        <w:t>据</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1C16D49" w14:textId="56FD1728" w:rsidR="00D4394E" w:rsidRDefault="00D171CD">
      <w:pPr>
        <w:adjustRightInd w:val="0"/>
        <w:snapToGrid w:val="0"/>
        <w:spacing w:line="240" w:lineRule="auto"/>
        <w:ind w:firstLineChars="200" w:firstLine="480"/>
        <w:rPr>
          <w:rFonts w:cs="Times New Roman"/>
          <w:szCs w:val="24"/>
        </w:rPr>
      </w:pPr>
      <w:r>
        <w:rPr>
          <w:rFonts w:cs="Times New Roman" w:hint="eastAsia"/>
          <w:szCs w:val="24"/>
        </w:rPr>
        <w:t>暂无</w:t>
      </w:r>
      <w:r w:rsidR="00000000">
        <w:rPr>
          <w:rFonts w:cs="Times New Roman" w:hint="eastAsia"/>
          <w:szCs w:val="24"/>
        </w:rPr>
        <w:t>。</w:t>
      </w:r>
      <w:bookmarkStart w:id="305" w:name="_Toc69553265"/>
      <w:bookmarkStart w:id="306" w:name="_Toc67407061"/>
    </w:p>
    <w:p w14:paraId="148A4D08" w14:textId="77777777" w:rsidR="00D4394E" w:rsidRDefault="00D4394E">
      <w:pPr>
        <w:adjustRightInd w:val="0"/>
        <w:snapToGrid w:val="0"/>
        <w:spacing w:line="240" w:lineRule="auto"/>
        <w:rPr>
          <w:rFonts w:cs="Times New Roman"/>
          <w:szCs w:val="24"/>
        </w:rPr>
      </w:pPr>
    </w:p>
    <w:p w14:paraId="18B9F8A3" w14:textId="77777777" w:rsidR="00D4394E" w:rsidRDefault="00000000">
      <w:pPr>
        <w:pStyle w:val="1"/>
        <w:spacing w:before="0" w:after="0"/>
        <w:rPr>
          <w:sz w:val="28"/>
        </w:rPr>
      </w:pPr>
      <w:bookmarkStart w:id="307" w:name="_Toc7317"/>
      <w:bookmarkStart w:id="308" w:name="_Toc27805"/>
      <w:bookmarkStart w:id="309" w:name="_Toc28466"/>
      <w:bookmarkStart w:id="310" w:name="_Toc2764"/>
      <w:bookmarkStart w:id="311" w:name="_Toc24832"/>
      <w:r>
        <w:rPr>
          <w:rFonts w:hint="eastAsia"/>
          <w:sz w:val="28"/>
        </w:rPr>
        <w:t>六、对强制性国家标准自发布日期至实施日期之间的过渡期的建议及理由，包括实施强制性国家标准所需要的技术改造、成本投入、老旧产品退出市场时间等</w:t>
      </w:r>
      <w:bookmarkEnd w:id="307"/>
      <w:bookmarkEnd w:id="308"/>
      <w:bookmarkEnd w:id="309"/>
      <w:bookmarkEnd w:id="310"/>
      <w:bookmarkEnd w:id="311"/>
    </w:p>
    <w:p w14:paraId="318438B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实施本标准不涉及技术改造、成本投入、老旧产品等。本文件建议发布后六个月实施。本文件需要使用单位有充分的过渡期，应对相关人员进行标准解读、宣贯培训，建议发布后</w:t>
      </w:r>
      <w:r>
        <w:rPr>
          <w:rFonts w:cs="Times New Roman" w:hint="eastAsia"/>
          <w:szCs w:val="24"/>
        </w:rPr>
        <w:t>6</w:t>
      </w:r>
      <w:r>
        <w:rPr>
          <w:rFonts w:cs="Times New Roman" w:hint="eastAsia"/>
          <w:szCs w:val="24"/>
        </w:rPr>
        <w:t>个月实施。过渡期间，应当按照</w:t>
      </w:r>
      <w:r>
        <w:rPr>
          <w:rFonts w:cs="Times New Roman" w:hint="eastAsia"/>
          <w:szCs w:val="24"/>
        </w:rPr>
        <w:t>GB</w:t>
      </w:r>
      <w:r>
        <w:rPr>
          <w:rFonts w:cs="Times New Roman"/>
          <w:szCs w:val="24"/>
        </w:rPr>
        <w:t xml:space="preserve"> </w:t>
      </w:r>
      <w:r>
        <w:rPr>
          <w:rFonts w:cs="Times New Roman" w:hint="eastAsia"/>
          <w:szCs w:val="24"/>
        </w:rPr>
        <w:t>37487-2019</w:t>
      </w:r>
      <w:r>
        <w:rPr>
          <w:rFonts w:cs="Times New Roman" w:hint="eastAsia"/>
          <w:szCs w:val="24"/>
        </w:rPr>
        <w:t>标准实施。</w:t>
      </w:r>
    </w:p>
    <w:p w14:paraId="387FAFF9" w14:textId="77777777" w:rsidR="00D4394E" w:rsidRDefault="00000000">
      <w:pPr>
        <w:pStyle w:val="1"/>
        <w:spacing w:before="0" w:after="0"/>
        <w:rPr>
          <w:sz w:val="28"/>
        </w:rPr>
      </w:pPr>
      <w:bookmarkStart w:id="312" w:name="_Toc32376"/>
      <w:bookmarkStart w:id="313" w:name="_Toc2311"/>
      <w:bookmarkStart w:id="314" w:name="_Toc28100"/>
      <w:r>
        <w:rPr>
          <w:rFonts w:hint="eastAsia"/>
          <w:sz w:val="28"/>
        </w:rPr>
        <w:lastRenderedPageBreak/>
        <w:t>七、</w:t>
      </w:r>
      <w:bookmarkStart w:id="315" w:name="_Toc23584"/>
      <w:bookmarkStart w:id="316" w:name="_Toc32738"/>
      <w:bookmarkStart w:id="317" w:name="_Toc27372"/>
      <w:bookmarkStart w:id="318" w:name="_Toc29291"/>
      <w:bookmarkStart w:id="319" w:name="_Toc17556"/>
      <w:bookmarkStart w:id="320" w:name="_Toc12221"/>
      <w:bookmarkStart w:id="321" w:name="_Toc22940"/>
      <w:bookmarkStart w:id="322" w:name="_Toc6026"/>
      <w:bookmarkStart w:id="323" w:name="_Toc16412"/>
      <w:bookmarkStart w:id="324" w:name="_Toc30790"/>
      <w:bookmarkStart w:id="325" w:name="_Toc23825"/>
      <w:bookmarkStart w:id="326" w:name="_Toc93656999"/>
      <w:bookmarkStart w:id="327" w:name="_Toc4218"/>
      <w:bookmarkStart w:id="328" w:name="_Toc6759"/>
      <w:bookmarkEnd w:id="312"/>
      <w:bookmarkEnd w:id="313"/>
      <w:bookmarkEnd w:id="314"/>
      <w:r>
        <w:rPr>
          <w:rFonts w:hint="eastAsia"/>
          <w:sz w:val="28"/>
        </w:rPr>
        <w:t>与实施强制性国家标准有关的政策措施，包括实施监督管理部门以及对违反强制性国家标准的行为进行处理的有关法律、行政法规、部门规章依据等</w:t>
      </w:r>
      <w:bookmarkEnd w:id="315"/>
      <w:bookmarkEnd w:id="316"/>
      <w:bookmarkEnd w:id="317"/>
      <w:bookmarkEnd w:id="318"/>
      <w:bookmarkEnd w:id="319"/>
    </w:p>
    <w:p w14:paraId="158EBCD9"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本标准发布后由各级卫生健康部门、疾病预防控制机构实施监督管理。对违反本标准的行为依据《中华人民共和国传染病防治法》《公共场所卫生管理条例》及《公共场所卫生管理条例实施细则》进行处理。</w:t>
      </w:r>
    </w:p>
    <w:p w14:paraId="1FEF9F0F" w14:textId="77777777" w:rsidR="00D4394E" w:rsidRDefault="00D4394E">
      <w:pPr>
        <w:adjustRightInd w:val="0"/>
        <w:snapToGrid w:val="0"/>
        <w:spacing w:line="240" w:lineRule="auto"/>
        <w:ind w:firstLineChars="200" w:firstLine="480"/>
        <w:rPr>
          <w:szCs w:val="24"/>
        </w:rPr>
      </w:pPr>
    </w:p>
    <w:p w14:paraId="46B5CE34" w14:textId="77777777" w:rsidR="00D4394E" w:rsidRDefault="00000000">
      <w:pPr>
        <w:pStyle w:val="1"/>
        <w:spacing w:before="0" w:after="0"/>
      </w:pPr>
      <w:bookmarkStart w:id="329" w:name="_Toc20935"/>
      <w:bookmarkStart w:id="330" w:name="_Toc29316"/>
      <w:bookmarkStart w:id="331" w:name="_Toc26300"/>
      <w:bookmarkStart w:id="332" w:name="_Toc15963"/>
      <w:bookmarkStart w:id="333" w:name="_Toc10716"/>
      <w:r>
        <w:rPr>
          <w:rFonts w:hint="eastAsia"/>
          <w:sz w:val="28"/>
        </w:rPr>
        <w:t>八、是否需要对外通报的建议及理由</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7B46CD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无。</w:t>
      </w:r>
    </w:p>
    <w:p w14:paraId="6FC16187" w14:textId="77777777" w:rsidR="00D4394E" w:rsidRDefault="00D4394E">
      <w:pPr>
        <w:adjustRightInd w:val="0"/>
        <w:snapToGrid w:val="0"/>
        <w:spacing w:line="240" w:lineRule="auto"/>
        <w:ind w:firstLineChars="200" w:firstLine="480"/>
        <w:rPr>
          <w:rFonts w:cs="Times New Roman"/>
          <w:szCs w:val="24"/>
        </w:rPr>
      </w:pPr>
    </w:p>
    <w:p w14:paraId="68C772EC" w14:textId="77777777" w:rsidR="00D4394E" w:rsidRDefault="00000000">
      <w:pPr>
        <w:pStyle w:val="1"/>
        <w:spacing w:before="0" w:after="0"/>
        <w:rPr>
          <w:sz w:val="28"/>
        </w:rPr>
      </w:pPr>
      <w:bookmarkStart w:id="334" w:name="_Toc93657001"/>
      <w:bookmarkStart w:id="335" w:name="_Toc22918"/>
      <w:bookmarkStart w:id="336" w:name="_Toc32066"/>
      <w:bookmarkStart w:id="337" w:name="_Toc27281"/>
      <w:bookmarkStart w:id="338" w:name="_Toc23194"/>
      <w:bookmarkStart w:id="339" w:name="_Toc9219"/>
      <w:bookmarkStart w:id="340" w:name="_Toc4122"/>
      <w:bookmarkStart w:id="341" w:name="_Toc15369"/>
      <w:bookmarkStart w:id="342" w:name="_Toc30345"/>
      <w:bookmarkStart w:id="343" w:name="_Toc26292"/>
      <w:bookmarkStart w:id="344" w:name="_Toc15184"/>
      <w:bookmarkStart w:id="345" w:name="_Toc9745"/>
      <w:bookmarkStart w:id="346" w:name="_Toc16877"/>
      <w:bookmarkStart w:id="347" w:name="_Toc7665"/>
      <w:r>
        <w:rPr>
          <w:rFonts w:hint="eastAsia"/>
          <w:sz w:val="28"/>
        </w:rPr>
        <w:t>九、废止现行有关标准的建议</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690C3B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本文件与</w:t>
      </w:r>
      <w:r>
        <w:rPr>
          <w:rFonts w:cs="Times New Roman" w:hint="eastAsia"/>
          <w:szCs w:val="24"/>
        </w:rPr>
        <w:t>GB</w:t>
      </w:r>
      <w:r>
        <w:rPr>
          <w:rFonts w:cs="Times New Roman"/>
          <w:szCs w:val="24"/>
        </w:rPr>
        <w:t xml:space="preserve"> </w:t>
      </w:r>
      <w:r>
        <w:rPr>
          <w:rFonts w:cs="Times New Roman" w:hint="eastAsia"/>
          <w:szCs w:val="24"/>
        </w:rPr>
        <w:t>37487-2019</w:t>
      </w:r>
      <w:r>
        <w:rPr>
          <w:rFonts w:cs="Times New Roman" w:hint="eastAsia"/>
          <w:szCs w:val="24"/>
        </w:rPr>
        <w:t>标准不一致，建议自本文件实施之日起，</w:t>
      </w:r>
      <w:r>
        <w:rPr>
          <w:rFonts w:cs="Times New Roman" w:hint="eastAsia"/>
          <w:szCs w:val="24"/>
        </w:rPr>
        <w:t>GB</w:t>
      </w:r>
      <w:r>
        <w:rPr>
          <w:rFonts w:cs="Times New Roman"/>
          <w:szCs w:val="24"/>
        </w:rPr>
        <w:t xml:space="preserve"> </w:t>
      </w:r>
      <w:r>
        <w:rPr>
          <w:rFonts w:cs="Times New Roman" w:hint="eastAsia"/>
          <w:szCs w:val="24"/>
        </w:rPr>
        <w:t>37487-2019</w:t>
      </w:r>
      <w:r>
        <w:rPr>
          <w:rFonts w:cs="Times New Roman" w:hint="eastAsia"/>
          <w:szCs w:val="24"/>
        </w:rPr>
        <w:t>标准中相应的内容废止。</w:t>
      </w:r>
    </w:p>
    <w:p w14:paraId="3AB21B1A" w14:textId="77777777" w:rsidR="00D4394E" w:rsidRDefault="00D4394E">
      <w:pPr>
        <w:adjustRightInd w:val="0"/>
        <w:snapToGrid w:val="0"/>
        <w:spacing w:line="240" w:lineRule="auto"/>
        <w:ind w:firstLineChars="200" w:firstLine="480"/>
        <w:rPr>
          <w:rFonts w:cs="Times New Roman"/>
          <w:szCs w:val="24"/>
        </w:rPr>
      </w:pPr>
    </w:p>
    <w:p w14:paraId="5DC68E6F" w14:textId="77777777" w:rsidR="00D4394E" w:rsidRDefault="00000000">
      <w:pPr>
        <w:pStyle w:val="1"/>
        <w:spacing w:before="0" w:after="0"/>
        <w:rPr>
          <w:sz w:val="28"/>
        </w:rPr>
      </w:pPr>
      <w:bookmarkStart w:id="348" w:name="_Toc9316"/>
      <w:bookmarkStart w:id="349" w:name="_Toc11909"/>
      <w:bookmarkStart w:id="350" w:name="_Toc14634"/>
      <w:bookmarkStart w:id="351" w:name="_Toc20906"/>
      <w:bookmarkStart w:id="352" w:name="_Toc12048"/>
      <w:r>
        <w:rPr>
          <w:rFonts w:hint="eastAsia"/>
          <w:sz w:val="28"/>
        </w:rPr>
        <w:t>十、</w:t>
      </w:r>
      <w:bookmarkStart w:id="353" w:name="_Toc31235"/>
      <w:bookmarkStart w:id="354" w:name="_Toc16871"/>
      <w:bookmarkStart w:id="355" w:name="_Toc25908"/>
      <w:bookmarkStart w:id="356" w:name="_Toc14251"/>
      <w:bookmarkStart w:id="357" w:name="_Toc617"/>
      <w:bookmarkStart w:id="358" w:name="_Toc14905"/>
      <w:bookmarkStart w:id="359" w:name="_Toc93657002"/>
      <w:bookmarkStart w:id="360" w:name="_Toc31051"/>
      <w:bookmarkStart w:id="361" w:name="_Toc11846"/>
      <w:bookmarkStart w:id="362" w:name="_Toc26732"/>
      <w:bookmarkStart w:id="363" w:name="_Toc6556"/>
      <w:bookmarkStart w:id="364" w:name="_Toc19881"/>
      <w:bookmarkStart w:id="365" w:name="_Toc21649"/>
      <w:bookmarkStart w:id="366" w:name="_Toc6785"/>
      <w:bookmarkEnd w:id="348"/>
      <w:bookmarkEnd w:id="349"/>
      <w:bookmarkEnd w:id="350"/>
      <w:bookmarkEnd w:id="351"/>
      <w:bookmarkEnd w:id="352"/>
      <w:r>
        <w:rPr>
          <w:rFonts w:hint="eastAsia"/>
          <w:sz w:val="28"/>
        </w:rPr>
        <w:t>涉及专利的有关说明</w:t>
      </w:r>
      <w:bookmarkEnd w:id="353"/>
      <w:bookmarkEnd w:id="354"/>
      <w:bookmarkEnd w:id="355"/>
      <w:bookmarkEnd w:id="356"/>
      <w:bookmarkEnd w:id="357"/>
    </w:p>
    <w:p w14:paraId="255317EF"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无。</w:t>
      </w:r>
    </w:p>
    <w:p w14:paraId="7FC9FCF8" w14:textId="77777777" w:rsidR="00D4394E" w:rsidRDefault="00D4394E">
      <w:pPr>
        <w:adjustRightInd w:val="0"/>
        <w:snapToGrid w:val="0"/>
        <w:spacing w:line="240" w:lineRule="auto"/>
        <w:ind w:firstLineChars="200" w:firstLine="480"/>
        <w:rPr>
          <w:rFonts w:cs="Times New Roman"/>
          <w:szCs w:val="24"/>
        </w:rPr>
      </w:pPr>
    </w:p>
    <w:p w14:paraId="02FAAB6F" w14:textId="77777777" w:rsidR="00D4394E" w:rsidRDefault="00000000">
      <w:pPr>
        <w:pStyle w:val="1"/>
        <w:rPr>
          <w:sz w:val="28"/>
        </w:rPr>
      </w:pPr>
      <w:bookmarkStart w:id="367" w:name="_Toc2404"/>
      <w:bookmarkStart w:id="368" w:name="_Toc15912"/>
      <w:bookmarkStart w:id="369" w:name="_Toc3052"/>
      <w:bookmarkStart w:id="370" w:name="_Toc27735"/>
      <w:bookmarkStart w:id="371" w:name="_Toc18362"/>
      <w:r>
        <w:rPr>
          <w:rFonts w:hint="eastAsia"/>
          <w:sz w:val="28"/>
        </w:rPr>
        <w:t>十一、强制性国家标准所涉及的产品、过程或者服务目录</w:t>
      </w:r>
      <w:bookmarkEnd w:id="367"/>
      <w:bookmarkEnd w:id="368"/>
      <w:bookmarkEnd w:id="369"/>
      <w:bookmarkEnd w:id="370"/>
      <w:bookmarkEnd w:id="371"/>
    </w:p>
    <w:p w14:paraId="658F862E"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无。</w:t>
      </w:r>
    </w:p>
    <w:p w14:paraId="4E1B9025" w14:textId="77777777" w:rsidR="00D4394E" w:rsidRDefault="00D4394E">
      <w:pPr>
        <w:adjustRightInd w:val="0"/>
        <w:snapToGrid w:val="0"/>
        <w:spacing w:line="240" w:lineRule="auto"/>
        <w:ind w:firstLineChars="200" w:firstLine="480"/>
        <w:rPr>
          <w:rFonts w:cs="Times New Roman"/>
          <w:szCs w:val="24"/>
        </w:rPr>
      </w:pPr>
    </w:p>
    <w:p w14:paraId="1275A879" w14:textId="77777777" w:rsidR="00D4394E" w:rsidRDefault="00000000">
      <w:pPr>
        <w:pStyle w:val="1"/>
        <w:spacing w:before="0" w:after="0"/>
        <w:rPr>
          <w:sz w:val="28"/>
        </w:rPr>
      </w:pPr>
      <w:bookmarkStart w:id="372" w:name="_Toc19930"/>
      <w:bookmarkStart w:id="373" w:name="_Toc31760"/>
      <w:bookmarkStart w:id="374" w:name="_Toc28963"/>
      <w:bookmarkStart w:id="375" w:name="_Toc6223"/>
      <w:bookmarkStart w:id="376" w:name="_Toc28818"/>
      <w:r>
        <w:rPr>
          <w:rFonts w:hint="eastAsia"/>
          <w:sz w:val="28"/>
        </w:rPr>
        <w:t>十二、其他应予说明的事项</w:t>
      </w:r>
      <w:bookmarkEnd w:id="305"/>
      <w:bookmarkEnd w:id="306"/>
      <w:bookmarkEnd w:id="358"/>
      <w:bookmarkEnd w:id="359"/>
      <w:bookmarkEnd w:id="360"/>
      <w:bookmarkEnd w:id="361"/>
      <w:bookmarkEnd w:id="362"/>
      <w:bookmarkEnd w:id="363"/>
      <w:bookmarkEnd w:id="364"/>
      <w:bookmarkEnd w:id="365"/>
      <w:bookmarkEnd w:id="366"/>
      <w:bookmarkEnd w:id="372"/>
      <w:bookmarkEnd w:id="373"/>
      <w:bookmarkEnd w:id="374"/>
      <w:bookmarkEnd w:id="375"/>
      <w:bookmarkEnd w:id="376"/>
    </w:p>
    <w:p w14:paraId="46CCD2F1" w14:textId="77777777" w:rsidR="00D4394E" w:rsidRDefault="00000000">
      <w:pPr>
        <w:adjustRightInd w:val="0"/>
        <w:snapToGrid w:val="0"/>
        <w:spacing w:line="240" w:lineRule="auto"/>
        <w:ind w:firstLineChars="200" w:firstLine="480"/>
        <w:rPr>
          <w:rFonts w:cs="Times New Roman"/>
          <w:szCs w:val="24"/>
        </w:rPr>
      </w:pPr>
      <w:r>
        <w:rPr>
          <w:rFonts w:cs="Times New Roman" w:hint="eastAsia"/>
          <w:szCs w:val="24"/>
        </w:rPr>
        <w:t>无。</w:t>
      </w:r>
      <w:bookmarkStart w:id="377" w:name="_Toc93657003"/>
    </w:p>
    <w:p w14:paraId="3AC54F1A" w14:textId="77777777" w:rsidR="00D4394E" w:rsidRDefault="00D4394E">
      <w:pPr>
        <w:pStyle w:val="afe"/>
        <w:spacing w:line="288" w:lineRule="auto"/>
        <w:ind w:firstLineChars="0" w:firstLine="0"/>
        <w:jc w:val="left"/>
        <w:rPr>
          <w:rFonts w:ascii="Times New Roman" w:hAnsi="Times New Roman"/>
        </w:rPr>
      </w:pPr>
    </w:p>
    <w:p w14:paraId="3E787355" w14:textId="77777777" w:rsidR="00D4394E" w:rsidRDefault="00D4394E">
      <w:pPr>
        <w:pStyle w:val="afe"/>
        <w:ind w:firstLine="400"/>
        <w:jc w:val="left"/>
        <w:rPr>
          <w:rFonts w:ascii="Times New Roman" w:hAnsi="Times New Roman"/>
        </w:rPr>
        <w:sectPr w:rsidR="00D4394E">
          <w:footerReference w:type="default" r:id="rId13"/>
          <w:pgSz w:w="11906" w:h="16838"/>
          <w:pgMar w:top="1440" w:right="1800" w:bottom="1440" w:left="1800" w:header="851" w:footer="992" w:gutter="0"/>
          <w:pgNumType w:start="1"/>
          <w:cols w:space="425"/>
          <w:docGrid w:type="lines" w:linePitch="312"/>
        </w:sectPr>
      </w:pPr>
    </w:p>
    <w:bookmarkEnd w:id="377"/>
    <w:p w14:paraId="2DED6A62" w14:textId="77777777" w:rsidR="00D4394E" w:rsidRDefault="00D4394E">
      <w:pPr>
        <w:tabs>
          <w:tab w:val="left" w:pos="630"/>
        </w:tabs>
        <w:snapToGrid w:val="0"/>
        <w:spacing w:line="240" w:lineRule="auto"/>
        <w:rPr>
          <w:rFonts w:cs="Times New Roman"/>
          <w:sz w:val="20"/>
          <w:szCs w:val="20"/>
        </w:rPr>
      </w:pPr>
    </w:p>
    <w:sectPr w:rsidR="00D4394E">
      <w:footerReference w:type="default" r:id="rId14"/>
      <w:type w:val="continuous"/>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F636" w14:textId="77777777" w:rsidR="00F95BB0" w:rsidRDefault="00F95BB0">
      <w:pPr>
        <w:spacing w:line="240" w:lineRule="auto"/>
      </w:pPr>
      <w:r>
        <w:separator/>
      </w:r>
    </w:p>
  </w:endnote>
  <w:endnote w:type="continuationSeparator" w:id="0">
    <w:p w14:paraId="0ADC6B63" w14:textId="77777777" w:rsidR="00F95BB0" w:rsidRDefault="00F95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D7B9" w14:textId="77777777" w:rsidR="00D4394E" w:rsidRDefault="00000000">
    <w:pPr>
      <w:pStyle w:val="ae"/>
      <w:ind w:firstLine="360"/>
      <w:jc w:val="center"/>
    </w:pPr>
    <w:r>
      <w:rPr>
        <w:noProof/>
      </w:rPr>
      <mc:AlternateContent>
        <mc:Choice Requires="wps">
          <w:drawing>
            <wp:anchor distT="0" distB="0" distL="114300" distR="114300" simplePos="0" relativeHeight="251661312" behindDoc="0" locked="0" layoutInCell="1" allowOverlap="1" wp14:anchorId="0440EE30" wp14:editId="49FE5272">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943DD3" w14:textId="77777777" w:rsidR="00D4394E" w:rsidRDefault="00000000">
                          <w:pPr>
                            <w:pStyle w:val="ae"/>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66B8EF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453" w14:textId="77777777" w:rsidR="00D4394E" w:rsidRDefault="00000000">
    <w:pPr>
      <w:pStyle w:val="ae"/>
      <w:jc w:val="center"/>
    </w:pPr>
    <w:r>
      <w:rPr>
        <w:noProof/>
      </w:rPr>
      <mc:AlternateContent>
        <mc:Choice Requires="wps">
          <w:drawing>
            <wp:anchor distT="0" distB="0" distL="114300" distR="114300" simplePos="0" relativeHeight="251659264" behindDoc="0" locked="0" layoutInCell="1" allowOverlap="1" wp14:anchorId="3CADCECA" wp14:editId="72E30122">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521"/>
                          </w:sdtPr>
                          <w:sdtContent>
                            <w:p w14:paraId="061CB51B" w14:textId="77777777" w:rsidR="00D4394E" w:rsidRDefault="00000000">
                              <w:pPr>
                                <w:pStyle w:val="ae"/>
                                <w:jc w:val="center"/>
                              </w:pPr>
                              <w:r>
                                <w:fldChar w:fldCharType="begin"/>
                              </w:r>
                              <w:r>
                                <w:instrText>PAGE   \* MERGEFORMAT</w:instrText>
                              </w:r>
                              <w:r>
                                <w:fldChar w:fldCharType="separate"/>
                              </w:r>
                              <w:r>
                                <w:rPr>
                                  <w:lang w:val="zh-CN"/>
                                </w:rPr>
                                <w:t>3</w:t>
                              </w:r>
                              <w:r>
                                <w:rPr>
                                  <w:lang w:val="zh-CN"/>
                                </w:rPr>
                                <w:t>3</w:t>
                              </w:r>
                              <w:r>
                                <w:fldChar w:fldCharType="end"/>
                              </w:r>
                            </w:p>
                          </w:sdtContent>
                        </w:sdt>
                        <w:p w14:paraId="165C7ABE" w14:textId="77777777" w:rsidR="00D4394E" w:rsidRDefault="00D4394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147464521"/>
                    </w:sdtPr>
                    <w:sdtContent>
                      <w:p w14:paraId="5154B324">
                        <w:pPr>
                          <w:pStyle w:val="16"/>
                          <w:jc w:val="center"/>
                        </w:pPr>
                        <w:r>
                          <w:fldChar w:fldCharType="begin"/>
                        </w:r>
                        <w:r>
                          <w:instrText xml:space="preserve">PAGE   \* MERGEFORMAT</w:instrText>
                        </w:r>
                        <w:r>
                          <w:fldChar w:fldCharType="separate"/>
                        </w:r>
                        <w:r>
                          <w:rPr>
                            <w:lang w:val="zh-CN"/>
                          </w:rPr>
                          <w:t>33</w:t>
                        </w:r>
                        <w:r>
                          <w:fldChar w:fldCharType="end"/>
                        </w:r>
                      </w:p>
                    </w:sdtContent>
                  </w:sdt>
                  <w:p w14:paraId="6B2084B0"/>
                </w:txbxContent>
              </v:textbox>
            </v:shape>
          </w:pict>
        </mc:Fallback>
      </mc:AlternateContent>
    </w:r>
  </w:p>
  <w:p w14:paraId="6D71F212" w14:textId="77777777" w:rsidR="00D4394E" w:rsidRDefault="00D4394E">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3A26" w14:textId="77777777" w:rsidR="00D4394E" w:rsidRDefault="00000000">
    <w:pPr>
      <w:pStyle w:val="ae"/>
      <w:jc w:val="center"/>
    </w:pPr>
    <w:r>
      <w:rPr>
        <w:noProof/>
      </w:rPr>
      <mc:AlternateContent>
        <mc:Choice Requires="wps">
          <w:drawing>
            <wp:anchor distT="0" distB="0" distL="114300" distR="114300" simplePos="0" relativeHeight="251660288" behindDoc="0" locked="0" layoutInCell="1" allowOverlap="1" wp14:anchorId="09AF68D2" wp14:editId="2954F052">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376"/>
                          </w:sdtPr>
                          <w:sdtContent>
                            <w:p w14:paraId="72478F47" w14:textId="77777777" w:rsidR="00D4394E" w:rsidRDefault="00000000">
                              <w:pPr>
                                <w:pStyle w:val="ae"/>
                                <w:jc w:val="center"/>
                              </w:pPr>
                              <w:r>
                                <w:fldChar w:fldCharType="begin"/>
                              </w:r>
                              <w:r>
                                <w:instrText>PAGE   \* MERGEFORMAT</w:instrText>
                              </w:r>
                              <w:r>
                                <w:fldChar w:fldCharType="separate"/>
                              </w:r>
                              <w:r>
                                <w:rPr>
                                  <w:lang w:val="zh-CN"/>
                                </w:rPr>
                                <w:t>70</w:t>
                              </w:r>
                              <w:r>
                                <w:fldChar w:fldCharType="end"/>
                              </w:r>
                            </w:p>
                          </w:sdtContent>
                        </w:sdt>
                        <w:p w14:paraId="3E509619" w14:textId="77777777" w:rsidR="00D4394E" w:rsidRDefault="00D4394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sdt>
                    <w:sdtPr>
                      <w:id w:val="147483376"/>
                    </w:sdtPr>
                    <w:sdtContent>
                      <w:p w14:paraId="0D42913E">
                        <w:pPr>
                          <w:pStyle w:val="16"/>
                          <w:jc w:val="center"/>
                        </w:pPr>
                        <w:r>
                          <w:fldChar w:fldCharType="begin"/>
                        </w:r>
                        <w:r>
                          <w:instrText xml:space="preserve">PAGE   \* MERGEFORMAT</w:instrText>
                        </w:r>
                        <w:r>
                          <w:fldChar w:fldCharType="separate"/>
                        </w:r>
                        <w:r>
                          <w:rPr>
                            <w:lang w:val="zh-CN"/>
                          </w:rPr>
                          <w:t>70</w:t>
                        </w:r>
                        <w:r>
                          <w:fldChar w:fldCharType="end"/>
                        </w:r>
                      </w:p>
                    </w:sdtContent>
                  </w:sdt>
                  <w:p w14:paraId="5D05461D"/>
                </w:txbxContent>
              </v:textbox>
            </v:shape>
          </w:pict>
        </mc:Fallback>
      </mc:AlternateContent>
    </w:r>
  </w:p>
  <w:p w14:paraId="4318B7A5" w14:textId="77777777" w:rsidR="00D4394E" w:rsidRDefault="00D4394E">
    <w:pPr>
      <w:spacing w:line="14" w:lineRule="auto"/>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39822" w14:textId="77777777" w:rsidR="00F95BB0" w:rsidRDefault="00F95BB0">
      <w:r>
        <w:separator/>
      </w:r>
    </w:p>
  </w:footnote>
  <w:footnote w:type="continuationSeparator" w:id="0">
    <w:p w14:paraId="3732ED15" w14:textId="77777777" w:rsidR="00F95BB0" w:rsidRDefault="00F9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EE580" w14:textId="77777777" w:rsidR="00D4394E" w:rsidRDefault="00D4394E">
    <w:pPr>
      <w:pStyle w:val="af0"/>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5DCC81"/>
    <w:multiLevelType w:val="singleLevel"/>
    <w:tmpl w:val="825DCC81"/>
    <w:lvl w:ilvl="0">
      <w:start w:val="1"/>
      <w:numFmt w:val="lowerLetter"/>
      <w:suff w:val="nothing"/>
      <w:lvlText w:val="%1）"/>
      <w:lvlJc w:val="left"/>
    </w:lvl>
  </w:abstractNum>
  <w:abstractNum w:abstractNumId="1" w15:restartNumberingAfterBreak="0">
    <w:nsid w:val="0E324214"/>
    <w:multiLevelType w:val="multilevel"/>
    <w:tmpl w:val="0E32421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pStyle w:val="6"/>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 w15:restartNumberingAfterBreak="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44C50F90"/>
    <w:multiLevelType w:val="multilevel"/>
    <w:tmpl w:val="44C50F90"/>
    <w:lvl w:ilvl="0">
      <w:start w:val="1"/>
      <w:numFmt w:val="lowerLetter"/>
      <w:pStyle w:val="a0"/>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pStyle w:val="a2"/>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31892598">
    <w:abstractNumId w:val="1"/>
  </w:num>
  <w:num w:numId="2" w16cid:durableId="1004356805">
    <w:abstractNumId w:val="4"/>
  </w:num>
  <w:num w:numId="3" w16cid:durableId="1905331937">
    <w:abstractNumId w:val="2"/>
  </w:num>
  <w:num w:numId="4" w16cid:durableId="1866096294">
    <w:abstractNumId w:val="3"/>
  </w:num>
  <w:num w:numId="5" w16cid:durableId="60229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Environmental Heal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tavvv9d9w0x7e2907vr9fiz9sszrrvte5t&quot;&gt;My EndNote Library 复制&lt;record-ids&gt;&lt;item&gt;120&lt;/item&gt;&lt;/record-ids&gt;&lt;/item&gt;&lt;/Libraries&gt;"/>
  </w:docVars>
  <w:rsids>
    <w:rsidRoot w:val="00520C64"/>
    <w:rsid w:val="00000649"/>
    <w:rsid w:val="000007CE"/>
    <w:rsid w:val="0000151A"/>
    <w:rsid w:val="00002F26"/>
    <w:rsid w:val="000077D3"/>
    <w:rsid w:val="00007C80"/>
    <w:rsid w:val="000102D5"/>
    <w:rsid w:val="0001233C"/>
    <w:rsid w:val="00015172"/>
    <w:rsid w:val="00015613"/>
    <w:rsid w:val="000162E0"/>
    <w:rsid w:val="0001756B"/>
    <w:rsid w:val="00020565"/>
    <w:rsid w:val="0002189F"/>
    <w:rsid w:val="00022255"/>
    <w:rsid w:val="00025DA2"/>
    <w:rsid w:val="0002624A"/>
    <w:rsid w:val="0002646D"/>
    <w:rsid w:val="00026877"/>
    <w:rsid w:val="00026C06"/>
    <w:rsid w:val="000270B1"/>
    <w:rsid w:val="000314D2"/>
    <w:rsid w:val="000317DB"/>
    <w:rsid w:val="00031F22"/>
    <w:rsid w:val="000413C3"/>
    <w:rsid w:val="00042222"/>
    <w:rsid w:val="00043A80"/>
    <w:rsid w:val="00047681"/>
    <w:rsid w:val="00047939"/>
    <w:rsid w:val="00052499"/>
    <w:rsid w:val="00056C83"/>
    <w:rsid w:val="000605C4"/>
    <w:rsid w:val="00062C27"/>
    <w:rsid w:val="00063EF7"/>
    <w:rsid w:val="00065ACF"/>
    <w:rsid w:val="00072696"/>
    <w:rsid w:val="00072D91"/>
    <w:rsid w:val="000735D6"/>
    <w:rsid w:val="00075B67"/>
    <w:rsid w:val="00076591"/>
    <w:rsid w:val="00077E4E"/>
    <w:rsid w:val="00077EEC"/>
    <w:rsid w:val="00077FB2"/>
    <w:rsid w:val="000811D0"/>
    <w:rsid w:val="00091E83"/>
    <w:rsid w:val="0009390F"/>
    <w:rsid w:val="00094DDE"/>
    <w:rsid w:val="000968D9"/>
    <w:rsid w:val="000A3F12"/>
    <w:rsid w:val="000A5424"/>
    <w:rsid w:val="000A7CDD"/>
    <w:rsid w:val="000B2D4C"/>
    <w:rsid w:val="000B326C"/>
    <w:rsid w:val="000B4DDD"/>
    <w:rsid w:val="000C4AF2"/>
    <w:rsid w:val="000C4E39"/>
    <w:rsid w:val="000C5A15"/>
    <w:rsid w:val="000D0664"/>
    <w:rsid w:val="000D5C15"/>
    <w:rsid w:val="000E33B1"/>
    <w:rsid w:val="000E529B"/>
    <w:rsid w:val="000E75B2"/>
    <w:rsid w:val="000E7756"/>
    <w:rsid w:val="000F4244"/>
    <w:rsid w:val="000F55DD"/>
    <w:rsid w:val="000F6BCC"/>
    <w:rsid w:val="000F782E"/>
    <w:rsid w:val="00100028"/>
    <w:rsid w:val="00101679"/>
    <w:rsid w:val="00102EFE"/>
    <w:rsid w:val="001105BE"/>
    <w:rsid w:val="0011229C"/>
    <w:rsid w:val="00114A4E"/>
    <w:rsid w:val="0011507A"/>
    <w:rsid w:val="00117F59"/>
    <w:rsid w:val="001230B6"/>
    <w:rsid w:val="00123F4D"/>
    <w:rsid w:val="001250E5"/>
    <w:rsid w:val="00131388"/>
    <w:rsid w:val="001330FB"/>
    <w:rsid w:val="00134F48"/>
    <w:rsid w:val="00136DF8"/>
    <w:rsid w:val="00140965"/>
    <w:rsid w:val="00141505"/>
    <w:rsid w:val="001454CE"/>
    <w:rsid w:val="00147461"/>
    <w:rsid w:val="001478E2"/>
    <w:rsid w:val="001513D8"/>
    <w:rsid w:val="001527D7"/>
    <w:rsid w:val="0015317C"/>
    <w:rsid w:val="001532A5"/>
    <w:rsid w:val="0015437A"/>
    <w:rsid w:val="00157ABC"/>
    <w:rsid w:val="00163304"/>
    <w:rsid w:val="00163919"/>
    <w:rsid w:val="00164855"/>
    <w:rsid w:val="001649B2"/>
    <w:rsid w:val="00165308"/>
    <w:rsid w:val="001656AF"/>
    <w:rsid w:val="00166498"/>
    <w:rsid w:val="001667D6"/>
    <w:rsid w:val="001710BA"/>
    <w:rsid w:val="00173B01"/>
    <w:rsid w:val="00176729"/>
    <w:rsid w:val="00176DB3"/>
    <w:rsid w:val="00176F13"/>
    <w:rsid w:val="00177904"/>
    <w:rsid w:val="001827CA"/>
    <w:rsid w:val="00185A32"/>
    <w:rsid w:val="00191F95"/>
    <w:rsid w:val="00192B82"/>
    <w:rsid w:val="0019527E"/>
    <w:rsid w:val="001A1047"/>
    <w:rsid w:val="001A245E"/>
    <w:rsid w:val="001A31DA"/>
    <w:rsid w:val="001A52B2"/>
    <w:rsid w:val="001A6F31"/>
    <w:rsid w:val="001B0743"/>
    <w:rsid w:val="001B1B32"/>
    <w:rsid w:val="001B200F"/>
    <w:rsid w:val="001B4266"/>
    <w:rsid w:val="001B590F"/>
    <w:rsid w:val="001C2E8F"/>
    <w:rsid w:val="001C7A17"/>
    <w:rsid w:val="001D1763"/>
    <w:rsid w:val="001D1C57"/>
    <w:rsid w:val="001D21BA"/>
    <w:rsid w:val="001D6308"/>
    <w:rsid w:val="001E184A"/>
    <w:rsid w:val="001E1990"/>
    <w:rsid w:val="001E1F9D"/>
    <w:rsid w:val="001E431C"/>
    <w:rsid w:val="001E64DB"/>
    <w:rsid w:val="001E693E"/>
    <w:rsid w:val="001E732B"/>
    <w:rsid w:val="001F125B"/>
    <w:rsid w:val="001F3408"/>
    <w:rsid w:val="001F4367"/>
    <w:rsid w:val="001F58EF"/>
    <w:rsid w:val="001F6876"/>
    <w:rsid w:val="00203934"/>
    <w:rsid w:val="002044B2"/>
    <w:rsid w:val="00204FB6"/>
    <w:rsid w:val="0020598C"/>
    <w:rsid w:val="00205C32"/>
    <w:rsid w:val="00207F57"/>
    <w:rsid w:val="0021521E"/>
    <w:rsid w:val="002155C0"/>
    <w:rsid w:val="00215D3D"/>
    <w:rsid w:val="0021612A"/>
    <w:rsid w:val="00216BAF"/>
    <w:rsid w:val="0022057B"/>
    <w:rsid w:val="002223AA"/>
    <w:rsid w:val="00223B3D"/>
    <w:rsid w:val="0022484B"/>
    <w:rsid w:val="00224F00"/>
    <w:rsid w:val="002313AE"/>
    <w:rsid w:val="002329CD"/>
    <w:rsid w:val="00232EE9"/>
    <w:rsid w:val="002339C1"/>
    <w:rsid w:val="00233E8C"/>
    <w:rsid w:val="0023405D"/>
    <w:rsid w:val="002345F9"/>
    <w:rsid w:val="002356B9"/>
    <w:rsid w:val="0024062D"/>
    <w:rsid w:val="0024134F"/>
    <w:rsid w:val="00241A34"/>
    <w:rsid w:val="00242011"/>
    <w:rsid w:val="002435EE"/>
    <w:rsid w:val="00243621"/>
    <w:rsid w:val="00245373"/>
    <w:rsid w:val="00246D32"/>
    <w:rsid w:val="0024712D"/>
    <w:rsid w:val="00250701"/>
    <w:rsid w:val="0025260E"/>
    <w:rsid w:val="00253A2B"/>
    <w:rsid w:val="00255AE2"/>
    <w:rsid w:val="002633D7"/>
    <w:rsid w:val="002647EF"/>
    <w:rsid w:val="00270197"/>
    <w:rsid w:val="00271752"/>
    <w:rsid w:val="00271E50"/>
    <w:rsid w:val="00271FBF"/>
    <w:rsid w:val="00272528"/>
    <w:rsid w:val="002752E1"/>
    <w:rsid w:val="0027584F"/>
    <w:rsid w:val="00277A22"/>
    <w:rsid w:val="00277EAB"/>
    <w:rsid w:val="00277FA6"/>
    <w:rsid w:val="00280E80"/>
    <w:rsid w:val="002814B1"/>
    <w:rsid w:val="00283646"/>
    <w:rsid w:val="00283EDD"/>
    <w:rsid w:val="00284507"/>
    <w:rsid w:val="00285D76"/>
    <w:rsid w:val="00287E18"/>
    <w:rsid w:val="00290737"/>
    <w:rsid w:val="002910C5"/>
    <w:rsid w:val="00291A95"/>
    <w:rsid w:val="00293DDF"/>
    <w:rsid w:val="0029463B"/>
    <w:rsid w:val="00295AE7"/>
    <w:rsid w:val="002A096E"/>
    <w:rsid w:val="002A0F74"/>
    <w:rsid w:val="002A1FC2"/>
    <w:rsid w:val="002A2041"/>
    <w:rsid w:val="002B1E2E"/>
    <w:rsid w:val="002B2E19"/>
    <w:rsid w:val="002B3479"/>
    <w:rsid w:val="002B41F7"/>
    <w:rsid w:val="002B5F08"/>
    <w:rsid w:val="002C28FB"/>
    <w:rsid w:val="002C49DD"/>
    <w:rsid w:val="002C4C31"/>
    <w:rsid w:val="002C7B14"/>
    <w:rsid w:val="002D00D3"/>
    <w:rsid w:val="002D0427"/>
    <w:rsid w:val="002D1C04"/>
    <w:rsid w:val="002D1D2C"/>
    <w:rsid w:val="002D1E76"/>
    <w:rsid w:val="002D20EB"/>
    <w:rsid w:val="002D3BB3"/>
    <w:rsid w:val="002D6A24"/>
    <w:rsid w:val="002E1034"/>
    <w:rsid w:val="002E27C2"/>
    <w:rsid w:val="002E2B9D"/>
    <w:rsid w:val="002E6D1B"/>
    <w:rsid w:val="002E7AB5"/>
    <w:rsid w:val="002F02E4"/>
    <w:rsid w:val="002F0C82"/>
    <w:rsid w:val="002F1241"/>
    <w:rsid w:val="002F3CE3"/>
    <w:rsid w:val="002F4AC3"/>
    <w:rsid w:val="002F708C"/>
    <w:rsid w:val="00301311"/>
    <w:rsid w:val="003023BB"/>
    <w:rsid w:val="00302457"/>
    <w:rsid w:val="00302747"/>
    <w:rsid w:val="003034DA"/>
    <w:rsid w:val="00304DED"/>
    <w:rsid w:val="003071DC"/>
    <w:rsid w:val="00315792"/>
    <w:rsid w:val="00315943"/>
    <w:rsid w:val="0031615F"/>
    <w:rsid w:val="003166DC"/>
    <w:rsid w:val="00316B13"/>
    <w:rsid w:val="003170F5"/>
    <w:rsid w:val="003178A2"/>
    <w:rsid w:val="00320B9B"/>
    <w:rsid w:val="00323FF7"/>
    <w:rsid w:val="003252A6"/>
    <w:rsid w:val="003260FD"/>
    <w:rsid w:val="00327609"/>
    <w:rsid w:val="00330A05"/>
    <w:rsid w:val="003320D7"/>
    <w:rsid w:val="00332214"/>
    <w:rsid w:val="00334D83"/>
    <w:rsid w:val="00336464"/>
    <w:rsid w:val="003412A5"/>
    <w:rsid w:val="0034142F"/>
    <w:rsid w:val="003415DC"/>
    <w:rsid w:val="00345424"/>
    <w:rsid w:val="00345919"/>
    <w:rsid w:val="00345A0B"/>
    <w:rsid w:val="00345D44"/>
    <w:rsid w:val="00350AAB"/>
    <w:rsid w:val="00351646"/>
    <w:rsid w:val="0035540E"/>
    <w:rsid w:val="00355B9C"/>
    <w:rsid w:val="0036138E"/>
    <w:rsid w:val="0036388F"/>
    <w:rsid w:val="00367EF7"/>
    <w:rsid w:val="00370C03"/>
    <w:rsid w:val="003716F1"/>
    <w:rsid w:val="00374D03"/>
    <w:rsid w:val="00374FD9"/>
    <w:rsid w:val="00380A3D"/>
    <w:rsid w:val="00381D24"/>
    <w:rsid w:val="00383CE8"/>
    <w:rsid w:val="00384177"/>
    <w:rsid w:val="00385265"/>
    <w:rsid w:val="00385ADD"/>
    <w:rsid w:val="0038656B"/>
    <w:rsid w:val="00386BE1"/>
    <w:rsid w:val="00386F9B"/>
    <w:rsid w:val="00387090"/>
    <w:rsid w:val="0039405C"/>
    <w:rsid w:val="0039512C"/>
    <w:rsid w:val="003A1389"/>
    <w:rsid w:val="003A1AF4"/>
    <w:rsid w:val="003A1D63"/>
    <w:rsid w:val="003A6692"/>
    <w:rsid w:val="003B183A"/>
    <w:rsid w:val="003B5751"/>
    <w:rsid w:val="003B66F5"/>
    <w:rsid w:val="003C0E4B"/>
    <w:rsid w:val="003C3A6B"/>
    <w:rsid w:val="003C748E"/>
    <w:rsid w:val="003D04D1"/>
    <w:rsid w:val="003D1796"/>
    <w:rsid w:val="003D2C9B"/>
    <w:rsid w:val="003D35BB"/>
    <w:rsid w:val="003D3FE0"/>
    <w:rsid w:val="003D426D"/>
    <w:rsid w:val="003D5AC3"/>
    <w:rsid w:val="003E2E8C"/>
    <w:rsid w:val="003E30DF"/>
    <w:rsid w:val="003F0AD2"/>
    <w:rsid w:val="003F0CEF"/>
    <w:rsid w:val="003F0F36"/>
    <w:rsid w:val="003F3D9D"/>
    <w:rsid w:val="003F4A4E"/>
    <w:rsid w:val="004005A2"/>
    <w:rsid w:val="0040099A"/>
    <w:rsid w:val="004009E9"/>
    <w:rsid w:val="00401A3D"/>
    <w:rsid w:val="004035EE"/>
    <w:rsid w:val="00405603"/>
    <w:rsid w:val="00407954"/>
    <w:rsid w:val="00412FB2"/>
    <w:rsid w:val="004130EF"/>
    <w:rsid w:val="00416A6E"/>
    <w:rsid w:val="00421142"/>
    <w:rsid w:val="004215E9"/>
    <w:rsid w:val="00421A60"/>
    <w:rsid w:val="00422A2B"/>
    <w:rsid w:val="00422BFE"/>
    <w:rsid w:val="004249A7"/>
    <w:rsid w:val="0042696D"/>
    <w:rsid w:val="004271AA"/>
    <w:rsid w:val="0042788B"/>
    <w:rsid w:val="00427D01"/>
    <w:rsid w:val="00430091"/>
    <w:rsid w:val="00430D2D"/>
    <w:rsid w:val="00431F58"/>
    <w:rsid w:val="004340B3"/>
    <w:rsid w:val="00435A33"/>
    <w:rsid w:val="00440BD9"/>
    <w:rsid w:val="004424C9"/>
    <w:rsid w:val="004434DA"/>
    <w:rsid w:val="004441C3"/>
    <w:rsid w:val="00452C46"/>
    <w:rsid w:val="00454611"/>
    <w:rsid w:val="00456680"/>
    <w:rsid w:val="0045671F"/>
    <w:rsid w:val="004575A6"/>
    <w:rsid w:val="00460B48"/>
    <w:rsid w:val="004617E8"/>
    <w:rsid w:val="0046220D"/>
    <w:rsid w:val="00473D74"/>
    <w:rsid w:val="004745E6"/>
    <w:rsid w:val="00474683"/>
    <w:rsid w:val="004748B8"/>
    <w:rsid w:val="00475269"/>
    <w:rsid w:val="00480816"/>
    <w:rsid w:val="004831EF"/>
    <w:rsid w:val="0048563E"/>
    <w:rsid w:val="00486F03"/>
    <w:rsid w:val="004924A0"/>
    <w:rsid w:val="00492AAC"/>
    <w:rsid w:val="004967D8"/>
    <w:rsid w:val="00496F64"/>
    <w:rsid w:val="00497E18"/>
    <w:rsid w:val="004A0664"/>
    <w:rsid w:val="004A1A06"/>
    <w:rsid w:val="004A471D"/>
    <w:rsid w:val="004A52BB"/>
    <w:rsid w:val="004A7815"/>
    <w:rsid w:val="004A79F5"/>
    <w:rsid w:val="004B2916"/>
    <w:rsid w:val="004B30F1"/>
    <w:rsid w:val="004B31EE"/>
    <w:rsid w:val="004B7B84"/>
    <w:rsid w:val="004B7DEC"/>
    <w:rsid w:val="004C016C"/>
    <w:rsid w:val="004C3E51"/>
    <w:rsid w:val="004C4081"/>
    <w:rsid w:val="004C759E"/>
    <w:rsid w:val="004C7ECB"/>
    <w:rsid w:val="004D2360"/>
    <w:rsid w:val="004D23AC"/>
    <w:rsid w:val="004D2973"/>
    <w:rsid w:val="004D642E"/>
    <w:rsid w:val="004D6C73"/>
    <w:rsid w:val="004D7905"/>
    <w:rsid w:val="004E0AD1"/>
    <w:rsid w:val="004E1A81"/>
    <w:rsid w:val="004E3F6D"/>
    <w:rsid w:val="004E411E"/>
    <w:rsid w:val="004E4E06"/>
    <w:rsid w:val="004F119C"/>
    <w:rsid w:val="004F1CBE"/>
    <w:rsid w:val="004F39F3"/>
    <w:rsid w:val="004F4D72"/>
    <w:rsid w:val="00500138"/>
    <w:rsid w:val="00500F83"/>
    <w:rsid w:val="00502278"/>
    <w:rsid w:val="005030DA"/>
    <w:rsid w:val="00505415"/>
    <w:rsid w:val="00506CE9"/>
    <w:rsid w:val="00506D2F"/>
    <w:rsid w:val="0051425D"/>
    <w:rsid w:val="00516EFD"/>
    <w:rsid w:val="00517305"/>
    <w:rsid w:val="00520C64"/>
    <w:rsid w:val="00521E38"/>
    <w:rsid w:val="00525B13"/>
    <w:rsid w:val="00526796"/>
    <w:rsid w:val="0053017B"/>
    <w:rsid w:val="005309EA"/>
    <w:rsid w:val="0053677D"/>
    <w:rsid w:val="00536D1E"/>
    <w:rsid w:val="00537439"/>
    <w:rsid w:val="00542F7E"/>
    <w:rsid w:val="005431B1"/>
    <w:rsid w:val="005440ED"/>
    <w:rsid w:val="00545149"/>
    <w:rsid w:val="00545F68"/>
    <w:rsid w:val="00546E96"/>
    <w:rsid w:val="00550CC7"/>
    <w:rsid w:val="00554849"/>
    <w:rsid w:val="0055532D"/>
    <w:rsid w:val="00555BE0"/>
    <w:rsid w:val="00557A70"/>
    <w:rsid w:val="005616DD"/>
    <w:rsid w:val="0056206C"/>
    <w:rsid w:val="00567846"/>
    <w:rsid w:val="0057238E"/>
    <w:rsid w:val="00572480"/>
    <w:rsid w:val="00573688"/>
    <w:rsid w:val="0057427F"/>
    <w:rsid w:val="0057560D"/>
    <w:rsid w:val="00576EDE"/>
    <w:rsid w:val="00577F61"/>
    <w:rsid w:val="00582109"/>
    <w:rsid w:val="00582554"/>
    <w:rsid w:val="0059254B"/>
    <w:rsid w:val="00592A4D"/>
    <w:rsid w:val="00592B33"/>
    <w:rsid w:val="00597416"/>
    <w:rsid w:val="005A0EB0"/>
    <w:rsid w:val="005A3C27"/>
    <w:rsid w:val="005A4916"/>
    <w:rsid w:val="005A4933"/>
    <w:rsid w:val="005B5A24"/>
    <w:rsid w:val="005C16BA"/>
    <w:rsid w:val="005C4334"/>
    <w:rsid w:val="005C65BB"/>
    <w:rsid w:val="005C7B48"/>
    <w:rsid w:val="005D2A13"/>
    <w:rsid w:val="005D2BCE"/>
    <w:rsid w:val="005D2E7C"/>
    <w:rsid w:val="005D3370"/>
    <w:rsid w:val="005E12D1"/>
    <w:rsid w:val="005E2FD2"/>
    <w:rsid w:val="005E7F7A"/>
    <w:rsid w:val="005F25B4"/>
    <w:rsid w:val="005F29E5"/>
    <w:rsid w:val="005F2EAC"/>
    <w:rsid w:val="005F3323"/>
    <w:rsid w:val="00601A99"/>
    <w:rsid w:val="0060464F"/>
    <w:rsid w:val="00607252"/>
    <w:rsid w:val="00610365"/>
    <w:rsid w:val="0061132A"/>
    <w:rsid w:val="0061437A"/>
    <w:rsid w:val="00615FA2"/>
    <w:rsid w:val="00621041"/>
    <w:rsid w:val="006221EE"/>
    <w:rsid w:val="006225D6"/>
    <w:rsid w:val="00622B46"/>
    <w:rsid w:val="00626B3B"/>
    <w:rsid w:val="00626DA6"/>
    <w:rsid w:val="00627896"/>
    <w:rsid w:val="00627988"/>
    <w:rsid w:val="006303C9"/>
    <w:rsid w:val="006316BE"/>
    <w:rsid w:val="0063409D"/>
    <w:rsid w:val="00634DFF"/>
    <w:rsid w:val="00635220"/>
    <w:rsid w:val="006358F4"/>
    <w:rsid w:val="00637F81"/>
    <w:rsid w:val="006426C9"/>
    <w:rsid w:val="006450DA"/>
    <w:rsid w:val="006468B9"/>
    <w:rsid w:val="00646A79"/>
    <w:rsid w:val="00646E15"/>
    <w:rsid w:val="00646EDF"/>
    <w:rsid w:val="006474DC"/>
    <w:rsid w:val="00647C51"/>
    <w:rsid w:val="0065579F"/>
    <w:rsid w:val="006578C7"/>
    <w:rsid w:val="00664BE7"/>
    <w:rsid w:val="00664D72"/>
    <w:rsid w:val="00665F8C"/>
    <w:rsid w:val="00670AAF"/>
    <w:rsid w:val="006727F7"/>
    <w:rsid w:val="006736BA"/>
    <w:rsid w:val="00675B9F"/>
    <w:rsid w:val="0067773C"/>
    <w:rsid w:val="00680791"/>
    <w:rsid w:val="006809A3"/>
    <w:rsid w:val="00683693"/>
    <w:rsid w:val="006849C7"/>
    <w:rsid w:val="006905A1"/>
    <w:rsid w:val="00691C65"/>
    <w:rsid w:val="0069297C"/>
    <w:rsid w:val="00693EF6"/>
    <w:rsid w:val="0069494E"/>
    <w:rsid w:val="00695ABA"/>
    <w:rsid w:val="006A3C80"/>
    <w:rsid w:val="006A496C"/>
    <w:rsid w:val="006A62D9"/>
    <w:rsid w:val="006B0C15"/>
    <w:rsid w:val="006B1432"/>
    <w:rsid w:val="006B3531"/>
    <w:rsid w:val="006B5462"/>
    <w:rsid w:val="006B6F13"/>
    <w:rsid w:val="006C137D"/>
    <w:rsid w:val="006C1BFC"/>
    <w:rsid w:val="006C26CD"/>
    <w:rsid w:val="006C2904"/>
    <w:rsid w:val="006C4A5E"/>
    <w:rsid w:val="006D0022"/>
    <w:rsid w:val="006D2D6D"/>
    <w:rsid w:val="006D346C"/>
    <w:rsid w:val="006D47B2"/>
    <w:rsid w:val="006D4B1E"/>
    <w:rsid w:val="006D5FF3"/>
    <w:rsid w:val="006D67DD"/>
    <w:rsid w:val="006E11E8"/>
    <w:rsid w:val="006E2AE6"/>
    <w:rsid w:val="006E479A"/>
    <w:rsid w:val="006E6782"/>
    <w:rsid w:val="006E7495"/>
    <w:rsid w:val="006F0F7E"/>
    <w:rsid w:val="006F3612"/>
    <w:rsid w:val="006F5F4C"/>
    <w:rsid w:val="00703A05"/>
    <w:rsid w:val="00706026"/>
    <w:rsid w:val="00707B1B"/>
    <w:rsid w:val="00707CB2"/>
    <w:rsid w:val="0071183D"/>
    <w:rsid w:val="00711C03"/>
    <w:rsid w:val="00713FC9"/>
    <w:rsid w:val="007146F0"/>
    <w:rsid w:val="007159C8"/>
    <w:rsid w:val="00715E6F"/>
    <w:rsid w:val="00721536"/>
    <w:rsid w:val="0072238F"/>
    <w:rsid w:val="00722A5D"/>
    <w:rsid w:val="007262C7"/>
    <w:rsid w:val="0073071A"/>
    <w:rsid w:val="00730A2B"/>
    <w:rsid w:val="00732B1A"/>
    <w:rsid w:val="00734D26"/>
    <w:rsid w:val="00740D66"/>
    <w:rsid w:val="0074273C"/>
    <w:rsid w:val="00745437"/>
    <w:rsid w:val="00746073"/>
    <w:rsid w:val="00747DF9"/>
    <w:rsid w:val="00751180"/>
    <w:rsid w:val="00752009"/>
    <w:rsid w:val="00754836"/>
    <w:rsid w:val="00755989"/>
    <w:rsid w:val="00757E5E"/>
    <w:rsid w:val="007621B7"/>
    <w:rsid w:val="0076329C"/>
    <w:rsid w:val="00763EE6"/>
    <w:rsid w:val="00765010"/>
    <w:rsid w:val="00767AC0"/>
    <w:rsid w:val="00771132"/>
    <w:rsid w:val="00771199"/>
    <w:rsid w:val="007719EB"/>
    <w:rsid w:val="007719F2"/>
    <w:rsid w:val="00773489"/>
    <w:rsid w:val="00775BAB"/>
    <w:rsid w:val="00775E8E"/>
    <w:rsid w:val="00780530"/>
    <w:rsid w:val="00781803"/>
    <w:rsid w:val="00781B22"/>
    <w:rsid w:val="00782A3F"/>
    <w:rsid w:val="0078512E"/>
    <w:rsid w:val="00787578"/>
    <w:rsid w:val="00787EBE"/>
    <w:rsid w:val="0079214E"/>
    <w:rsid w:val="0079316C"/>
    <w:rsid w:val="00795C1A"/>
    <w:rsid w:val="00796A5E"/>
    <w:rsid w:val="00796B83"/>
    <w:rsid w:val="00797381"/>
    <w:rsid w:val="00797CA5"/>
    <w:rsid w:val="007A1838"/>
    <w:rsid w:val="007A65F5"/>
    <w:rsid w:val="007A70E6"/>
    <w:rsid w:val="007B190D"/>
    <w:rsid w:val="007B2C7D"/>
    <w:rsid w:val="007B3605"/>
    <w:rsid w:val="007B3D68"/>
    <w:rsid w:val="007B4D00"/>
    <w:rsid w:val="007B5EF0"/>
    <w:rsid w:val="007B69B2"/>
    <w:rsid w:val="007B747C"/>
    <w:rsid w:val="007C12AE"/>
    <w:rsid w:val="007C2F3D"/>
    <w:rsid w:val="007C3ABA"/>
    <w:rsid w:val="007C4A30"/>
    <w:rsid w:val="007C68D8"/>
    <w:rsid w:val="007D08C6"/>
    <w:rsid w:val="007D1997"/>
    <w:rsid w:val="007D1FCB"/>
    <w:rsid w:val="007D2603"/>
    <w:rsid w:val="007D2B32"/>
    <w:rsid w:val="007D3CA5"/>
    <w:rsid w:val="007D4C5E"/>
    <w:rsid w:val="007D5414"/>
    <w:rsid w:val="007D65CC"/>
    <w:rsid w:val="007D6EE2"/>
    <w:rsid w:val="007E029D"/>
    <w:rsid w:val="007E1F74"/>
    <w:rsid w:val="007E2727"/>
    <w:rsid w:val="007E2CA0"/>
    <w:rsid w:val="007E67CF"/>
    <w:rsid w:val="007E7071"/>
    <w:rsid w:val="007F0057"/>
    <w:rsid w:val="007F0792"/>
    <w:rsid w:val="007F3A94"/>
    <w:rsid w:val="007F4E5D"/>
    <w:rsid w:val="007F5177"/>
    <w:rsid w:val="00800AC5"/>
    <w:rsid w:val="0080609A"/>
    <w:rsid w:val="00811E0F"/>
    <w:rsid w:val="00814795"/>
    <w:rsid w:val="00815FE1"/>
    <w:rsid w:val="008164F5"/>
    <w:rsid w:val="00816843"/>
    <w:rsid w:val="00816CBD"/>
    <w:rsid w:val="00816D61"/>
    <w:rsid w:val="00820B1F"/>
    <w:rsid w:val="00820DC2"/>
    <w:rsid w:val="0082242B"/>
    <w:rsid w:val="008226A2"/>
    <w:rsid w:val="00822848"/>
    <w:rsid w:val="00822A26"/>
    <w:rsid w:val="00824224"/>
    <w:rsid w:val="00825BE6"/>
    <w:rsid w:val="008271CC"/>
    <w:rsid w:val="008274F2"/>
    <w:rsid w:val="008302D2"/>
    <w:rsid w:val="0083129A"/>
    <w:rsid w:val="008316DF"/>
    <w:rsid w:val="008327CC"/>
    <w:rsid w:val="00832FD9"/>
    <w:rsid w:val="0083442D"/>
    <w:rsid w:val="0083586E"/>
    <w:rsid w:val="008407E3"/>
    <w:rsid w:val="00844500"/>
    <w:rsid w:val="00844B47"/>
    <w:rsid w:val="00844B90"/>
    <w:rsid w:val="00844FB9"/>
    <w:rsid w:val="008459DF"/>
    <w:rsid w:val="008515FA"/>
    <w:rsid w:val="00853A87"/>
    <w:rsid w:val="00855049"/>
    <w:rsid w:val="00857929"/>
    <w:rsid w:val="0086004F"/>
    <w:rsid w:val="00862833"/>
    <w:rsid w:val="00863631"/>
    <w:rsid w:val="00864638"/>
    <w:rsid w:val="00864C22"/>
    <w:rsid w:val="00864F86"/>
    <w:rsid w:val="00867CB1"/>
    <w:rsid w:val="00872035"/>
    <w:rsid w:val="0087235E"/>
    <w:rsid w:val="00874518"/>
    <w:rsid w:val="00875D7C"/>
    <w:rsid w:val="0087678A"/>
    <w:rsid w:val="008801EE"/>
    <w:rsid w:val="008821F8"/>
    <w:rsid w:val="00884DD7"/>
    <w:rsid w:val="00885609"/>
    <w:rsid w:val="00892A99"/>
    <w:rsid w:val="00893A7C"/>
    <w:rsid w:val="008958C6"/>
    <w:rsid w:val="008962EF"/>
    <w:rsid w:val="008A364E"/>
    <w:rsid w:val="008A6C49"/>
    <w:rsid w:val="008A6CB5"/>
    <w:rsid w:val="008A7FD4"/>
    <w:rsid w:val="008B44C5"/>
    <w:rsid w:val="008B5851"/>
    <w:rsid w:val="008B5FD6"/>
    <w:rsid w:val="008B75FE"/>
    <w:rsid w:val="008C002F"/>
    <w:rsid w:val="008C1B5D"/>
    <w:rsid w:val="008C3269"/>
    <w:rsid w:val="008C3CD6"/>
    <w:rsid w:val="008C45DC"/>
    <w:rsid w:val="008C4E87"/>
    <w:rsid w:val="008D0078"/>
    <w:rsid w:val="008D177D"/>
    <w:rsid w:val="008D2F30"/>
    <w:rsid w:val="008D3525"/>
    <w:rsid w:val="008D3D05"/>
    <w:rsid w:val="008D5279"/>
    <w:rsid w:val="008D6097"/>
    <w:rsid w:val="008D6851"/>
    <w:rsid w:val="008D6C70"/>
    <w:rsid w:val="008D779C"/>
    <w:rsid w:val="008D7ACB"/>
    <w:rsid w:val="008E0D15"/>
    <w:rsid w:val="008E2BC9"/>
    <w:rsid w:val="008E3513"/>
    <w:rsid w:val="008E7035"/>
    <w:rsid w:val="008E7176"/>
    <w:rsid w:val="008E766E"/>
    <w:rsid w:val="008F0E30"/>
    <w:rsid w:val="008F545A"/>
    <w:rsid w:val="008F5461"/>
    <w:rsid w:val="008F60F4"/>
    <w:rsid w:val="00901FEB"/>
    <w:rsid w:val="0090214A"/>
    <w:rsid w:val="00902333"/>
    <w:rsid w:val="00902A5F"/>
    <w:rsid w:val="009034F7"/>
    <w:rsid w:val="00903965"/>
    <w:rsid w:val="0090489C"/>
    <w:rsid w:val="00905E99"/>
    <w:rsid w:val="00906378"/>
    <w:rsid w:val="00906CFF"/>
    <w:rsid w:val="00910C7F"/>
    <w:rsid w:val="009117B9"/>
    <w:rsid w:val="0091312B"/>
    <w:rsid w:val="00913AE8"/>
    <w:rsid w:val="009164AE"/>
    <w:rsid w:val="009171C7"/>
    <w:rsid w:val="00917C0D"/>
    <w:rsid w:val="00917C74"/>
    <w:rsid w:val="00921BA2"/>
    <w:rsid w:val="00922119"/>
    <w:rsid w:val="009234DF"/>
    <w:rsid w:val="00932156"/>
    <w:rsid w:val="0093229E"/>
    <w:rsid w:val="009323E8"/>
    <w:rsid w:val="00933739"/>
    <w:rsid w:val="0093397C"/>
    <w:rsid w:val="00937EC2"/>
    <w:rsid w:val="009443DD"/>
    <w:rsid w:val="009471ED"/>
    <w:rsid w:val="00950F6F"/>
    <w:rsid w:val="00951EA8"/>
    <w:rsid w:val="00953C6D"/>
    <w:rsid w:val="00955099"/>
    <w:rsid w:val="0095532F"/>
    <w:rsid w:val="00961D5E"/>
    <w:rsid w:val="009657FF"/>
    <w:rsid w:val="00965C84"/>
    <w:rsid w:val="00965D73"/>
    <w:rsid w:val="00967D9D"/>
    <w:rsid w:val="0097074B"/>
    <w:rsid w:val="00970E1B"/>
    <w:rsid w:val="00971C47"/>
    <w:rsid w:val="00972B1E"/>
    <w:rsid w:val="009732C0"/>
    <w:rsid w:val="00973A70"/>
    <w:rsid w:val="00973EB1"/>
    <w:rsid w:val="009776FE"/>
    <w:rsid w:val="00980EFF"/>
    <w:rsid w:val="00981CA3"/>
    <w:rsid w:val="00983AC8"/>
    <w:rsid w:val="00984A8A"/>
    <w:rsid w:val="00985259"/>
    <w:rsid w:val="0099185B"/>
    <w:rsid w:val="00992F66"/>
    <w:rsid w:val="00994B3F"/>
    <w:rsid w:val="00997520"/>
    <w:rsid w:val="009A01F4"/>
    <w:rsid w:val="009A0CE5"/>
    <w:rsid w:val="009A11B7"/>
    <w:rsid w:val="009A1D15"/>
    <w:rsid w:val="009A6CD8"/>
    <w:rsid w:val="009A7FE2"/>
    <w:rsid w:val="009B5664"/>
    <w:rsid w:val="009B6E3F"/>
    <w:rsid w:val="009B709A"/>
    <w:rsid w:val="009B7E16"/>
    <w:rsid w:val="009C35D3"/>
    <w:rsid w:val="009C55CF"/>
    <w:rsid w:val="009C70B7"/>
    <w:rsid w:val="009C76E1"/>
    <w:rsid w:val="009D3313"/>
    <w:rsid w:val="009D4FA4"/>
    <w:rsid w:val="009E4539"/>
    <w:rsid w:val="009E5FF7"/>
    <w:rsid w:val="009E6659"/>
    <w:rsid w:val="009E6D4F"/>
    <w:rsid w:val="009E7706"/>
    <w:rsid w:val="009F15D2"/>
    <w:rsid w:val="009F1D68"/>
    <w:rsid w:val="009F3DD8"/>
    <w:rsid w:val="009F491E"/>
    <w:rsid w:val="009F5AFE"/>
    <w:rsid w:val="009F6256"/>
    <w:rsid w:val="009F714E"/>
    <w:rsid w:val="00A0092B"/>
    <w:rsid w:val="00A01A42"/>
    <w:rsid w:val="00A0218B"/>
    <w:rsid w:val="00A023C1"/>
    <w:rsid w:val="00A04ECA"/>
    <w:rsid w:val="00A068CF"/>
    <w:rsid w:val="00A06F83"/>
    <w:rsid w:val="00A118DB"/>
    <w:rsid w:val="00A14607"/>
    <w:rsid w:val="00A20706"/>
    <w:rsid w:val="00A2115E"/>
    <w:rsid w:val="00A21968"/>
    <w:rsid w:val="00A22D98"/>
    <w:rsid w:val="00A402B0"/>
    <w:rsid w:val="00A4099F"/>
    <w:rsid w:val="00A416D9"/>
    <w:rsid w:val="00A4414B"/>
    <w:rsid w:val="00A451EF"/>
    <w:rsid w:val="00A46D72"/>
    <w:rsid w:val="00A50AB3"/>
    <w:rsid w:val="00A53489"/>
    <w:rsid w:val="00A538CA"/>
    <w:rsid w:val="00A539D7"/>
    <w:rsid w:val="00A53B1F"/>
    <w:rsid w:val="00A56AEC"/>
    <w:rsid w:val="00A5770B"/>
    <w:rsid w:val="00A57E5A"/>
    <w:rsid w:val="00A6213C"/>
    <w:rsid w:val="00A62A3F"/>
    <w:rsid w:val="00A62F66"/>
    <w:rsid w:val="00A65588"/>
    <w:rsid w:val="00A657D7"/>
    <w:rsid w:val="00A65862"/>
    <w:rsid w:val="00A678C4"/>
    <w:rsid w:val="00A709D2"/>
    <w:rsid w:val="00A71B25"/>
    <w:rsid w:val="00A72E86"/>
    <w:rsid w:val="00A759E6"/>
    <w:rsid w:val="00A75FFE"/>
    <w:rsid w:val="00A77C04"/>
    <w:rsid w:val="00A823C2"/>
    <w:rsid w:val="00A8571A"/>
    <w:rsid w:val="00A863F3"/>
    <w:rsid w:val="00A86C72"/>
    <w:rsid w:val="00A86D5F"/>
    <w:rsid w:val="00A87D3B"/>
    <w:rsid w:val="00A911A1"/>
    <w:rsid w:val="00A9452B"/>
    <w:rsid w:val="00A96B6E"/>
    <w:rsid w:val="00A96DBB"/>
    <w:rsid w:val="00A97B18"/>
    <w:rsid w:val="00A97CD1"/>
    <w:rsid w:val="00AA101D"/>
    <w:rsid w:val="00AA41AA"/>
    <w:rsid w:val="00AB174C"/>
    <w:rsid w:val="00AB1826"/>
    <w:rsid w:val="00AB196C"/>
    <w:rsid w:val="00AB26BF"/>
    <w:rsid w:val="00AB3448"/>
    <w:rsid w:val="00AB3AEF"/>
    <w:rsid w:val="00AB502B"/>
    <w:rsid w:val="00AB54EA"/>
    <w:rsid w:val="00AB5608"/>
    <w:rsid w:val="00AB5D89"/>
    <w:rsid w:val="00AB6284"/>
    <w:rsid w:val="00AB6C38"/>
    <w:rsid w:val="00AB71DE"/>
    <w:rsid w:val="00AB735A"/>
    <w:rsid w:val="00AC0A9D"/>
    <w:rsid w:val="00AC45AF"/>
    <w:rsid w:val="00AC6825"/>
    <w:rsid w:val="00AD0B81"/>
    <w:rsid w:val="00AD2177"/>
    <w:rsid w:val="00AD3973"/>
    <w:rsid w:val="00AD4414"/>
    <w:rsid w:val="00AD4619"/>
    <w:rsid w:val="00AD5ADF"/>
    <w:rsid w:val="00AE0158"/>
    <w:rsid w:val="00AE131D"/>
    <w:rsid w:val="00AE2F54"/>
    <w:rsid w:val="00AF0501"/>
    <w:rsid w:val="00AF2805"/>
    <w:rsid w:val="00AF321C"/>
    <w:rsid w:val="00AF795D"/>
    <w:rsid w:val="00B00353"/>
    <w:rsid w:val="00B00CB7"/>
    <w:rsid w:val="00B013C8"/>
    <w:rsid w:val="00B018BD"/>
    <w:rsid w:val="00B01CB9"/>
    <w:rsid w:val="00B14745"/>
    <w:rsid w:val="00B17FA1"/>
    <w:rsid w:val="00B20626"/>
    <w:rsid w:val="00B20B1B"/>
    <w:rsid w:val="00B23223"/>
    <w:rsid w:val="00B27CB4"/>
    <w:rsid w:val="00B30E8A"/>
    <w:rsid w:val="00B32062"/>
    <w:rsid w:val="00B32C83"/>
    <w:rsid w:val="00B37E48"/>
    <w:rsid w:val="00B400DF"/>
    <w:rsid w:val="00B40A29"/>
    <w:rsid w:val="00B44925"/>
    <w:rsid w:val="00B44B86"/>
    <w:rsid w:val="00B45BF1"/>
    <w:rsid w:val="00B46180"/>
    <w:rsid w:val="00B50CF7"/>
    <w:rsid w:val="00B538FA"/>
    <w:rsid w:val="00B55751"/>
    <w:rsid w:val="00B56CE5"/>
    <w:rsid w:val="00B57328"/>
    <w:rsid w:val="00B6160B"/>
    <w:rsid w:val="00B64D4A"/>
    <w:rsid w:val="00B70BE1"/>
    <w:rsid w:val="00B73880"/>
    <w:rsid w:val="00B7397C"/>
    <w:rsid w:val="00B74EA0"/>
    <w:rsid w:val="00B77985"/>
    <w:rsid w:val="00B82DD8"/>
    <w:rsid w:val="00B833C7"/>
    <w:rsid w:val="00B90D63"/>
    <w:rsid w:val="00B9121B"/>
    <w:rsid w:val="00B91F0F"/>
    <w:rsid w:val="00B9282C"/>
    <w:rsid w:val="00B948C6"/>
    <w:rsid w:val="00B95E71"/>
    <w:rsid w:val="00B96068"/>
    <w:rsid w:val="00BA1B63"/>
    <w:rsid w:val="00BA2631"/>
    <w:rsid w:val="00BA2817"/>
    <w:rsid w:val="00BA7F90"/>
    <w:rsid w:val="00BB0803"/>
    <w:rsid w:val="00BB3B32"/>
    <w:rsid w:val="00BB5248"/>
    <w:rsid w:val="00BB5B0D"/>
    <w:rsid w:val="00BB6A6A"/>
    <w:rsid w:val="00BC1A45"/>
    <w:rsid w:val="00BC2476"/>
    <w:rsid w:val="00BC2BEF"/>
    <w:rsid w:val="00BC3B7C"/>
    <w:rsid w:val="00BC4322"/>
    <w:rsid w:val="00BC55CD"/>
    <w:rsid w:val="00BE17A2"/>
    <w:rsid w:val="00BE4EBB"/>
    <w:rsid w:val="00BE54FF"/>
    <w:rsid w:val="00BF1972"/>
    <w:rsid w:val="00BF311C"/>
    <w:rsid w:val="00BF3DE2"/>
    <w:rsid w:val="00BF588E"/>
    <w:rsid w:val="00BF6568"/>
    <w:rsid w:val="00C00A74"/>
    <w:rsid w:val="00C0164E"/>
    <w:rsid w:val="00C01AED"/>
    <w:rsid w:val="00C01FD5"/>
    <w:rsid w:val="00C0441B"/>
    <w:rsid w:val="00C049D2"/>
    <w:rsid w:val="00C0632D"/>
    <w:rsid w:val="00C07444"/>
    <w:rsid w:val="00C12CCD"/>
    <w:rsid w:val="00C12E03"/>
    <w:rsid w:val="00C140C6"/>
    <w:rsid w:val="00C14F45"/>
    <w:rsid w:val="00C152D0"/>
    <w:rsid w:val="00C15E02"/>
    <w:rsid w:val="00C169BF"/>
    <w:rsid w:val="00C225DE"/>
    <w:rsid w:val="00C24D91"/>
    <w:rsid w:val="00C24FB2"/>
    <w:rsid w:val="00C25B9C"/>
    <w:rsid w:val="00C25FEE"/>
    <w:rsid w:val="00C2695F"/>
    <w:rsid w:val="00C32E95"/>
    <w:rsid w:val="00C3427C"/>
    <w:rsid w:val="00C35BED"/>
    <w:rsid w:val="00C37F2B"/>
    <w:rsid w:val="00C4021D"/>
    <w:rsid w:val="00C41A06"/>
    <w:rsid w:val="00C42049"/>
    <w:rsid w:val="00C465F8"/>
    <w:rsid w:val="00C46622"/>
    <w:rsid w:val="00C46A14"/>
    <w:rsid w:val="00C46E47"/>
    <w:rsid w:val="00C5214A"/>
    <w:rsid w:val="00C5363C"/>
    <w:rsid w:val="00C54F46"/>
    <w:rsid w:val="00C55DD1"/>
    <w:rsid w:val="00C57148"/>
    <w:rsid w:val="00C61016"/>
    <w:rsid w:val="00C6136C"/>
    <w:rsid w:val="00C622F9"/>
    <w:rsid w:val="00C65692"/>
    <w:rsid w:val="00C701D8"/>
    <w:rsid w:val="00C70DFE"/>
    <w:rsid w:val="00C7365D"/>
    <w:rsid w:val="00C80C97"/>
    <w:rsid w:val="00C81078"/>
    <w:rsid w:val="00C82476"/>
    <w:rsid w:val="00C8714A"/>
    <w:rsid w:val="00C92045"/>
    <w:rsid w:val="00C92F39"/>
    <w:rsid w:val="00C952F6"/>
    <w:rsid w:val="00C95CFD"/>
    <w:rsid w:val="00CA1AA2"/>
    <w:rsid w:val="00CA2077"/>
    <w:rsid w:val="00CA22B4"/>
    <w:rsid w:val="00CA2888"/>
    <w:rsid w:val="00CA2F4A"/>
    <w:rsid w:val="00CA40B7"/>
    <w:rsid w:val="00CA4B2D"/>
    <w:rsid w:val="00CA4D24"/>
    <w:rsid w:val="00CA5B29"/>
    <w:rsid w:val="00CA6646"/>
    <w:rsid w:val="00CA6C21"/>
    <w:rsid w:val="00CB2572"/>
    <w:rsid w:val="00CC04B3"/>
    <w:rsid w:val="00CC38C6"/>
    <w:rsid w:val="00CC41AC"/>
    <w:rsid w:val="00CC787F"/>
    <w:rsid w:val="00CD0BFE"/>
    <w:rsid w:val="00CD2E52"/>
    <w:rsid w:val="00CD47B7"/>
    <w:rsid w:val="00CE2B91"/>
    <w:rsid w:val="00CE3019"/>
    <w:rsid w:val="00CE43FE"/>
    <w:rsid w:val="00CE474B"/>
    <w:rsid w:val="00CE5428"/>
    <w:rsid w:val="00CE5D3A"/>
    <w:rsid w:val="00CE66C0"/>
    <w:rsid w:val="00CE79CE"/>
    <w:rsid w:val="00CF313C"/>
    <w:rsid w:val="00CF41DB"/>
    <w:rsid w:val="00CF6061"/>
    <w:rsid w:val="00D00510"/>
    <w:rsid w:val="00D00ED6"/>
    <w:rsid w:val="00D04B09"/>
    <w:rsid w:val="00D05673"/>
    <w:rsid w:val="00D05F66"/>
    <w:rsid w:val="00D06B66"/>
    <w:rsid w:val="00D077C4"/>
    <w:rsid w:val="00D11BB4"/>
    <w:rsid w:val="00D11F7E"/>
    <w:rsid w:val="00D13464"/>
    <w:rsid w:val="00D171CD"/>
    <w:rsid w:val="00D20028"/>
    <w:rsid w:val="00D21D8D"/>
    <w:rsid w:val="00D22B40"/>
    <w:rsid w:val="00D238CD"/>
    <w:rsid w:val="00D24FB1"/>
    <w:rsid w:val="00D264A8"/>
    <w:rsid w:val="00D27DB8"/>
    <w:rsid w:val="00D333FF"/>
    <w:rsid w:val="00D34887"/>
    <w:rsid w:val="00D35E86"/>
    <w:rsid w:val="00D36770"/>
    <w:rsid w:val="00D36CA5"/>
    <w:rsid w:val="00D418B5"/>
    <w:rsid w:val="00D42384"/>
    <w:rsid w:val="00D4394E"/>
    <w:rsid w:val="00D47238"/>
    <w:rsid w:val="00D534B5"/>
    <w:rsid w:val="00D558ED"/>
    <w:rsid w:val="00D55D97"/>
    <w:rsid w:val="00D5656E"/>
    <w:rsid w:val="00D60576"/>
    <w:rsid w:val="00D6158B"/>
    <w:rsid w:val="00D636FD"/>
    <w:rsid w:val="00D63A9F"/>
    <w:rsid w:val="00D65881"/>
    <w:rsid w:val="00D6652A"/>
    <w:rsid w:val="00D66B5A"/>
    <w:rsid w:val="00D70FC3"/>
    <w:rsid w:val="00D802A9"/>
    <w:rsid w:val="00D839B7"/>
    <w:rsid w:val="00D863E4"/>
    <w:rsid w:val="00D90685"/>
    <w:rsid w:val="00D9264A"/>
    <w:rsid w:val="00D9356D"/>
    <w:rsid w:val="00D938D5"/>
    <w:rsid w:val="00D952E6"/>
    <w:rsid w:val="00D966EB"/>
    <w:rsid w:val="00DA160F"/>
    <w:rsid w:val="00DA2EB9"/>
    <w:rsid w:val="00DA5C34"/>
    <w:rsid w:val="00DA767C"/>
    <w:rsid w:val="00DA7D10"/>
    <w:rsid w:val="00DB0DDB"/>
    <w:rsid w:val="00DB1223"/>
    <w:rsid w:val="00DB55B5"/>
    <w:rsid w:val="00DC1402"/>
    <w:rsid w:val="00DC2401"/>
    <w:rsid w:val="00DC2876"/>
    <w:rsid w:val="00DC4E40"/>
    <w:rsid w:val="00DC51FB"/>
    <w:rsid w:val="00DC5F9F"/>
    <w:rsid w:val="00DC70B6"/>
    <w:rsid w:val="00DC7472"/>
    <w:rsid w:val="00DD08B1"/>
    <w:rsid w:val="00DD0960"/>
    <w:rsid w:val="00DD7489"/>
    <w:rsid w:val="00DE6A8E"/>
    <w:rsid w:val="00DF10A4"/>
    <w:rsid w:val="00DF119A"/>
    <w:rsid w:val="00DF186F"/>
    <w:rsid w:val="00DF25E0"/>
    <w:rsid w:val="00DF41B7"/>
    <w:rsid w:val="00DF4B20"/>
    <w:rsid w:val="00DF6133"/>
    <w:rsid w:val="00DF6D85"/>
    <w:rsid w:val="00E03014"/>
    <w:rsid w:val="00E041D7"/>
    <w:rsid w:val="00E05DF7"/>
    <w:rsid w:val="00E06935"/>
    <w:rsid w:val="00E10448"/>
    <w:rsid w:val="00E119E6"/>
    <w:rsid w:val="00E16801"/>
    <w:rsid w:val="00E27C93"/>
    <w:rsid w:val="00E30BD6"/>
    <w:rsid w:val="00E30E63"/>
    <w:rsid w:val="00E30F42"/>
    <w:rsid w:val="00E34513"/>
    <w:rsid w:val="00E34526"/>
    <w:rsid w:val="00E36C18"/>
    <w:rsid w:val="00E37E4D"/>
    <w:rsid w:val="00E41EAE"/>
    <w:rsid w:val="00E42008"/>
    <w:rsid w:val="00E42A4C"/>
    <w:rsid w:val="00E43055"/>
    <w:rsid w:val="00E44116"/>
    <w:rsid w:val="00E44598"/>
    <w:rsid w:val="00E539EC"/>
    <w:rsid w:val="00E56514"/>
    <w:rsid w:val="00E569EE"/>
    <w:rsid w:val="00E60DDE"/>
    <w:rsid w:val="00E62B11"/>
    <w:rsid w:val="00E6308F"/>
    <w:rsid w:val="00E6391E"/>
    <w:rsid w:val="00E64DD1"/>
    <w:rsid w:val="00E673A7"/>
    <w:rsid w:val="00E675BE"/>
    <w:rsid w:val="00E719F5"/>
    <w:rsid w:val="00E721A0"/>
    <w:rsid w:val="00E75DD7"/>
    <w:rsid w:val="00E77629"/>
    <w:rsid w:val="00E8213E"/>
    <w:rsid w:val="00E82ABE"/>
    <w:rsid w:val="00E84EF6"/>
    <w:rsid w:val="00E85954"/>
    <w:rsid w:val="00E86005"/>
    <w:rsid w:val="00E9017D"/>
    <w:rsid w:val="00E90A80"/>
    <w:rsid w:val="00E917F8"/>
    <w:rsid w:val="00E92192"/>
    <w:rsid w:val="00E92EC3"/>
    <w:rsid w:val="00E9475C"/>
    <w:rsid w:val="00E956D4"/>
    <w:rsid w:val="00E956DD"/>
    <w:rsid w:val="00E95BA7"/>
    <w:rsid w:val="00EA2A8B"/>
    <w:rsid w:val="00EA496D"/>
    <w:rsid w:val="00EA5CAB"/>
    <w:rsid w:val="00EA7E8C"/>
    <w:rsid w:val="00EB1893"/>
    <w:rsid w:val="00EB2E22"/>
    <w:rsid w:val="00EB64B6"/>
    <w:rsid w:val="00EC0AF8"/>
    <w:rsid w:val="00EC1369"/>
    <w:rsid w:val="00EC13CB"/>
    <w:rsid w:val="00EC18DC"/>
    <w:rsid w:val="00EC1B4F"/>
    <w:rsid w:val="00EC7D64"/>
    <w:rsid w:val="00ED2A54"/>
    <w:rsid w:val="00ED2DE9"/>
    <w:rsid w:val="00ED7F51"/>
    <w:rsid w:val="00EE0863"/>
    <w:rsid w:val="00EE129A"/>
    <w:rsid w:val="00EE13A1"/>
    <w:rsid w:val="00EE1D9A"/>
    <w:rsid w:val="00EE3C72"/>
    <w:rsid w:val="00EE4951"/>
    <w:rsid w:val="00EE6F86"/>
    <w:rsid w:val="00EF084D"/>
    <w:rsid w:val="00EF12F8"/>
    <w:rsid w:val="00EF1309"/>
    <w:rsid w:val="00EF4263"/>
    <w:rsid w:val="00EF4654"/>
    <w:rsid w:val="00EF5D57"/>
    <w:rsid w:val="00EF695C"/>
    <w:rsid w:val="00EF775C"/>
    <w:rsid w:val="00F04213"/>
    <w:rsid w:val="00F049E8"/>
    <w:rsid w:val="00F04DD1"/>
    <w:rsid w:val="00F1026D"/>
    <w:rsid w:val="00F1095F"/>
    <w:rsid w:val="00F10CC1"/>
    <w:rsid w:val="00F12489"/>
    <w:rsid w:val="00F13D7E"/>
    <w:rsid w:val="00F15863"/>
    <w:rsid w:val="00F17F8A"/>
    <w:rsid w:val="00F23349"/>
    <w:rsid w:val="00F23E64"/>
    <w:rsid w:val="00F25131"/>
    <w:rsid w:val="00F25955"/>
    <w:rsid w:val="00F3166B"/>
    <w:rsid w:val="00F326EE"/>
    <w:rsid w:val="00F35611"/>
    <w:rsid w:val="00F37FAC"/>
    <w:rsid w:val="00F41049"/>
    <w:rsid w:val="00F45469"/>
    <w:rsid w:val="00F5148B"/>
    <w:rsid w:val="00F5216F"/>
    <w:rsid w:val="00F549FB"/>
    <w:rsid w:val="00F56977"/>
    <w:rsid w:val="00F56A63"/>
    <w:rsid w:val="00F574C8"/>
    <w:rsid w:val="00F57D28"/>
    <w:rsid w:val="00F61202"/>
    <w:rsid w:val="00F72BB6"/>
    <w:rsid w:val="00F74FA8"/>
    <w:rsid w:val="00F7522A"/>
    <w:rsid w:val="00F765A4"/>
    <w:rsid w:val="00F7790F"/>
    <w:rsid w:val="00F779BC"/>
    <w:rsid w:val="00F803E7"/>
    <w:rsid w:val="00F822D1"/>
    <w:rsid w:val="00F832A8"/>
    <w:rsid w:val="00F83FE7"/>
    <w:rsid w:val="00F87BC4"/>
    <w:rsid w:val="00F93F96"/>
    <w:rsid w:val="00F941CA"/>
    <w:rsid w:val="00F94B9B"/>
    <w:rsid w:val="00F95BB0"/>
    <w:rsid w:val="00F95DEA"/>
    <w:rsid w:val="00F97A32"/>
    <w:rsid w:val="00FA1B82"/>
    <w:rsid w:val="00FA4284"/>
    <w:rsid w:val="00FA6EB3"/>
    <w:rsid w:val="00FB1C19"/>
    <w:rsid w:val="00FB3248"/>
    <w:rsid w:val="00FB35DD"/>
    <w:rsid w:val="00FB3951"/>
    <w:rsid w:val="00FB39B4"/>
    <w:rsid w:val="00FB6357"/>
    <w:rsid w:val="00FB7540"/>
    <w:rsid w:val="00FB78EC"/>
    <w:rsid w:val="00FC0DF3"/>
    <w:rsid w:val="00FC247A"/>
    <w:rsid w:val="00FC2824"/>
    <w:rsid w:val="00FC6126"/>
    <w:rsid w:val="00FC719A"/>
    <w:rsid w:val="00FD60AF"/>
    <w:rsid w:val="00FD66D2"/>
    <w:rsid w:val="00FE0AE4"/>
    <w:rsid w:val="00FE2D72"/>
    <w:rsid w:val="00FE411D"/>
    <w:rsid w:val="00FE48C3"/>
    <w:rsid w:val="00FE5885"/>
    <w:rsid w:val="00FE5DF6"/>
    <w:rsid w:val="00FF4029"/>
    <w:rsid w:val="00FF40D1"/>
    <w:rsid w:val="00FF54EF"/>
    <w:rsid w:val="00FF7319"/>
    <w:rsid w:val="00FF75F0"/>
    <w:rsid w:val="01077F8F"/>
    <w:rsid w:val="011B3300"/>
    <w:rsid w:val="01382B7D"/>
    <w:rsid w:val="013E61E2"/>
    <w:rsid w:val="01B42765"/>
    <w:rsid w:val="01FF3BC3"/>
    <w:rsid w:val="020F54DA"/>
    <w:rsid w:val="023B2DC4"/>
    <w:rsid w:val="024471EC"/>
    <w:rsid w:val="0290311F"/>
    <w:rsid w:val="02DF3616"/>
    <w:rsid w:val="02EC31EC"/>
    <w:rsid w:val="02FD734A"/>
    <w:rsid w:val="033A0C2B"/>
    <w:rsid w:val="03592654"/>
    <w:rsid w:val="037747F0"/>
    <w:rsid w:val="03F81B1E"/>
    <w:rsid w:val="040600DB"/>
    <w:rsid w:val="04074A2A"/>
    <w:rsid w:val="048E4147"/>
    <w:rsid w:val="04AC6D15"/>
    <w:rsid w:val="053D1B9E"/>
    <w:rsid w:val="058F4632"/>
    <w:rsid w:val="05D610DF"/>
    <w:rsid w:val="05E11832"/>
    <w:rsid w:val="05FD6958"/>
    <w:rsid w:val="06BC70F9"/>
    <w:rsid w:val="07022A8F"/>
    <w:rsid w:val="07117EF5"/>
    <w:rsid w:val="073F0B85"/>
    <w:rsid w:val="07417757"/>
    <w:rsid w:val="0747272B"/>
    <w:rsid w:val="08B234D4"/>
    <w:rsid w:val="08BC69F4"/>
    <w:rsid w:val="08CE556A"/>
    <w:rsid w:val="090F5A0D"/>
    <w:rsid w:val="0928436E"/>
    <w:rsid w:val="09491BC8"/>
    <w:rsid w:val="09496E75"/>
    <w:rsid w:val="095158B9"/>
    <w:rsid w:val="09B2776D"/>
    <w:rsid w:val="0A1270E8"/>
    <w:rsid w:val="0A18647F"/>
    <w:rsid w:val="0A945F90"/>
    <w:rsid w:val="0AF16A15"/>
    <w:rsid w:val="0B14633D"/>
    <w:rsid w:val="0B556CDF"/>
    <w:rsid w:val="0B9360AE"/>
    <w:rsid w:val="0B995230"/>
    <w:rsid w:val="0BDF4308"/>
    <w:rsid w:val="0BEA58E4"/>
    <w:rsid w:val="0C2671FD"/>
    <w:rsid w:val="0C331801"/>
    <w:rsid w:val="0C41302A"/>
    <w:rsid w:val="0CA02447"/>
    <w:rsid w:val="0CE92FB8"/>
    <w:rsid w:val="0D0753D1"/>
    <w:rsid w:val="0D077DD0"/>
    <w:rsid w:val="0D60645D"/>
    <w:rsid w:val="0DAB4BFF"/>
    <w:rsid w:val="0DC161D1"/>
    <w:rsid w:val="0E511753"/>
    <w:rsid w:val="0EB82AA2"/>
    <w:rsid w:val="0EF95E3E"/>
    <w:rsid w:val="0F98447D"/>
    <w:rsid w:val="103119EF"/>
    <w:rsid w:val="1057106E"/>
    <w:rsid w:val="108C05CA"/>
    <w:rsid w:val="10966863"/>
    <w:rsid w:val="109B2A18"/>
    <w:rsid w:val="10E96908"/>
    <w:rsid w:val="111C1D4A"/>
    <w:rsid w:val="1191041B"/>
    <w:rsid w:val="11951E4E"/>
    <w:rsid w:val="11C24C0D"/>
    <w:rsid w:val="11D85BD5"/>
    <w:rsid w:val="11F6337B"/>
    <w:rsid w:val="124471BE"/>
    <w:rsid w:val="12535865"/>
    <w:rsid w:val="12787865"/>
    <w:rsid w:val="12861D78"/>
    <w:rsid w:val="1312127D"/>
    <w:rsid w:val="1324792E"/>
    <w:rsid w:val="136E6DFB"/>
    <w:rsid w:val="137C4FFF"/>
    <w:rsid w:val="140D2636"/>
    <w:rsid w:val="14136F91"/>
    <w:rsid w:val="147F6DE6"/>
    <w:rsid w:val="14D26A57"/>
    <w:rsid w:val="15347CE9"/>
    <w:rsid w:val="158C1391"/>
    <w:rsid w:val="15B56679"/>
    <w:rsid w:val="15F5119A"/>
    <w:rsid w:val="16067937"/>
    <w:rsid w:val="16165F18"/>
    <w:rsid w:val="161B5299"/>
    <w:rsid w:val="1634673B"/>
    <w:rsid w:val="164755A2"/>
    <w:rsid w:val="16CD0C24"/>
    <w:rsid w:val="17901F35"/>
    <w:rsid w:val="181C79C5"/>
    <w:rsid w:val="18636AEA"/>
    <w:rsid w:val="19B90B8B"/>
    <w:rsid w:val="1A8011C2"/>
    <w:rsid w:val="1A9A6727"/>
    <w:rsid w:val="1AA35FDD"/>
    <w:rsid w:val="1B3252D6"/>
    <w:rsid w:val="1B492C62"/>
    <w:rsid w:val="1B75420E"/>
    <w:rsid w:val="1C2C53F6"/>
    <w:rsid w:val="1C315045"/>
    <w:rsid w:val="1C3A794B"/>
    <w:rsid w:val="1C674CFA"/>
    <w:rsid w:val="1CC2502E"/>
    <w:rsid w:val="1CC67062"/>
    <w:rsid w:val="1CD22D74"/>
    <w:rsid w:val="1CE471BB"/>
    <w:rsid w:val="1D026749"/>
    <w:rsid w:val="1D295B40"/>
    <w:rsid w:val="1D3B7B1C"/>
    <w:rsid w:val="1D8C706B"/>
    <w:rsid w:val="1ED134D7"/>
    <w:rsid w:val="1EFF73D5"/>
    <w:rsid w:val="1F2B76C7"/>
    <w:rsid w:val="1FA60A9C"/>
    <w:rsid w:val="1FC6612F"/>
    <w:rsid w:val="201C62F8"/>
    <w:rsid w:val="202C5D2C"/>
    <w:rsid w:val="20603745"/>
    <w:rsid w:val="20C10497"/>
    <w:rsid w:val="215F631F"/>
    <w:rsid w:val="21B655D7"/>
    <w:rsid w:val="21C87416"/>
    <w:rsid w:val="21C92D57"/>
    <w:rsid w:val="21E02D11"/>
    <w:rsid w:val="22D147BD"/>
    <w:rsid w:val="22D27B33"/>
    <w:rsid w:val="22E43881"/>
    <w:rsid w:val="22EE1714"/>
    <w:rsid w:val="23627766"/>
    <w:rsid w:val="237A62C6"/>
    <w:rsid w:val="237F64BA"/>
    <w:rsid w:val="24341C5C"/>
    <w:rsid w:val="24357EE2"/>
    <w:rsid w:val="25827BEC"/>
    <w:rsid w:val="25976661"/>
    <w:rsid w:val="25AE4E31"/>
    <w:rsid w:val="26136578"/>
    <w:rsid w:val="2631565C"/>
    <w:rsid w:val="268E37D0"/>
    <w:rsid w:val="274572A5"/>
    <w:rsid w:val="27AB0725"/>
    <w:rsid w:val="27B34A08"/>
    <w:rsid w:val="27E90024"/>
    <w:rsid w:val="282C5F38"/>
    <w:rsid w:val="2840599F"/>
    <w:rsid w:val="28412DAC"/>
    <w:rsid w:val="2865049F"/>
    <w:rsid w:val="28844573"/>
    <w:rsid w:val="28DE0B35"/>
    <w:rsid w:val="291A781D"/>
    <w:rsid w:val="291F277F"/>
    <w:rsid w:val="29D55086"/>
    <w:rsid w:val="29DD50FE"/>
    <w:rsid w:val="29F32451"/>
    <w:rsid w:val="2A266C8F"/>
    <w:rsid w:val="2A2E4992"/>
    <w:rsid w:val="2A342CD2"/>
    <w:rsid w:val="2A5D628E"/>
    <w:rsid w:val="2A844EF7"/>
    <w:rsid w:val="2AAF479F"/>
    <w:rsid w:val="2B522706"/>
    <w:rsid w:val="2BC960CA"/>
    <w:rsid w:val="2C416A03"/>
    <w:rsid w:val="2C8A72E4"/>
    <w:rsid w:val="2CC814BC"/>
    <w:rsid w:val="2CDA113A"/>
    <w:rsid w:val="2D3E27BA"/>
    <w:rsid w:val="2D6251F1"/>
    <w:rsid w:val="2D6F3845"/>
    <w:rsid w:val="2DA200BD"/>
    <w:rsid w:val="2DFE5055"/>
    <w:rsid w:val="2E0D2197"/>
    <w:rsid w:val="2EA32F21"/>
    <w:rsid w:val="2ED272CF"/>
    <w:rsid w:val="2F8506DC"/>
    <w:rsid w:val="2F8574DA"/>
    <w:rsid w:val="2FD70D97"/>
    <w:rsid w:val="2FF24E8E"/>
    <w:rsid w:val="300417D3"/>
    <w:rsid w:val="304D122A"/>
    <w:rsid w:val="30732D63"/>
    <w:rsid w:val="3126779C"/>
    <w:rsid w:val="312C2C56"/>
    <w:rsid w:val="314D1E5E"/>
    <w:rsid w:val="317E4255"/>
    <w:rsid w:val="31912C1A"/>
    <w:rsid w:val="32283A9C"/>
    <w:rsid w:val="32963D0B"/>
    <w:rsid w:val="333E0B85"/>
    <w:rsid w:val="33814F8D"/>
    <w:rsid w:val="33882219"/>
    <w:rsid w:val="339E473B"/>
    <w:rsid w:val="33CF4D0C"/>
    <w:rsid w:val="33EE557F"/>
    <w:rsid w:val="34152F5C"/>
    <w:rsid w:val="343E7CCC"/>
    <w:rsid w:val="344D229C"/>
    <w:rsid w:val="34892544"/>
    <w:rsid w:val="34A044B4"/>
    <w:rsid w:val="34F860CC"/>
    <w:rsid w:val="35354ABA"/>
    <w:rsid w:val="35BB3AA2"/>
    <w:rsid w:val="364E57B3"/>
    <w:rsid w:val="36C572E8"/>
    <w:rsid w:val="36DC6C4A"/>
    <w:rsid w:val="36EB3BA4"/>
    <w:rsid w:val="3726796F"/>
    <w:rsid w:val="37386C54"/>
    <w:rsid w:val="373B67BD"/>
    <w:rsid w:val="3766714B"/>
    <w:rsid w:val="37851E2C"/>
    <w:rsid w:val="37884542"/>
    <w:rsid w:val="37A16D14"/>
    <w:rsid w:val="37B449F3"/>
    <w:rsid w:val="38674833"/>
    <w:rsid w:val="38811163"/>
    <w:rsid w:val="38C24422"/>
    <w:rsid w:val="38EA7B5C"/>
    <w:rsid w:val="394D7AFA"/>
    <w:rsid w:val="394E7213"/>
    <w:rsid w:val="395522C3"/>
    <w:rsid w:val="39BB0BDB"/>
    <w:rsid w:val="39F2371E"/>
    <w:rsid w:val="3A5771B8"/>
    <w:rsid w:val="3A726F2E"/>
    <w:rsid w:val="3A850402"/>
    <w:rsid w:val="3AA762A4"/>
    <w:rsid w:val="3AAB10C5"/>
    <w:rsid w:val="3AAD23AF"/>
    <w:rsid w:val="3AB6772C"/>
    <w:rsid w:val="3B1E11DE"/>
    <w:rsid w:val="3B2C2CEE"/>
    <w:rsid w:val="3B497682"/>
    <w:rsid w:val="3B506C62"/>
    <w:rsid w:val="3B69078B"/>
    <w:rsid w:val="3BB527F9"/>
    <w:rsid w:val="3BBA2AA9"/>
    <w:rsid w:val="3BDF3B42"/>
    <w:rsid w:val="3BFD1875"/>
    <w:rsid w:val="3C220EE0"/>
    <w:rsid w:val="3C25238E"/>
    <w:rsid w:val="3CB82D3D"/>
    <w:rsid w:val="3CD62A5B"/>
    <w:rsid w:val="3D4F6AA6"/>
    <w:rsid w:val="3DF12D76"/>
    <w:rsid w:val="3DFC22CF"/>
    <w:rsid w:val="3E1D7DC3"/>
    <w:rsid w:val="3EB42F98"/>
    <w:rsid w:val="3F227AE8"/>
    <w:rsid w:val="3F771DBE"/>
    <w:rsid w:val="3FF85455"/>
    <w:rsid w:val="40012822"/>
    <w:rsid w:val="40AC4E80"/>
    <w:rsid w:val="419E7FFC"/>
    <w:rsid w:val="41A63656"/>
    <w:rsid w:val="422608BA"/>
    <w:rsid w:val="422D115A"/>
    <w:rsid w:val="4291098B"/>
    <w:rsid w:val="42B41F8B"/>
    <w:rsid w:val="42ED57F2"/>
    <w:rsid w:val="430A7866"/>
    <w:rsid w:val="432B58BF"/>
    <w:rsid w:val="43BF352D"/>
    <w:rsid w:val="43CA5612"/>
    <w:rsid w:val="44000AFA"/>
    <w:rsid w:val="44947019"/>
    <w:rsid w:val="44EE43A5"/>
    <w:rsid w:val="44F71048"/>
    <w:rsid w:val="45BB117C"/>
    <w:rsid w:val="45F6220D"/>
    <w:rsid w:val="4698733E"/>
    <w:rsid w:val="473B0F57"/>
    <w:rsid w:val="47540DDF"/>
    <w:rsid w:val="47627351"/>
    <w:rsid w:val="476F0995"/>
    <w:rsid w:val="479F0BB8"/>
    <w:rsid w:val="47C24DC9"/>
    <w:rsid w:val="48162EA9"/>
    <w:rsid w:val="485D1A85"/>
    <w:rsid w:val="4880208D"/>
    <w:rsid w:val="48D57EB8"/>
    <w:rsid w:val="49132400"/>
    <w:rsid w:val="49457BF2"/>
    <w:rsid w:val="4A1166D7"/>
    <w:rsid w:val="4A5B2731"/>
    <w:rsid w:val="4A6F152E"/>
    <w:rsid w:val="4AED1C9D"/>
    <w:rsid w:val="4B814C16"/>
    <w:rsid w:val="4BA6467C"/>
    <w:rsid w:val="4BA960E9"/>
    <w:rsid w:val="4C4F1C92"/>
    <w:rsid w:val="4D312982"/>
    <w:rsid w:val="4D5624A8"/>
    <w:rsid w:val="4D7F4ED0"/>
    <w:rsid w:val="4D8B28C8"/>
    <w:rsid w:val="4D8B3C75"/>
    <w:rsid w:val="4E1807F0"/>
    <w:rsid w:val="4E2912D4"/>
    <w:rsid w:val="4E472389"/>
    <w:rsid w:val="4E961A76"/>
    <w:rsid w:val="4E9A7F8B"/>
    <w:rsid w:val="4EE33F7B"/>
    <w:rsid w:val="4F912B39"/>
    <w:rsid w:val="5060065E"/>
    <w:rsid w:val="50650662"/>
    <w:rsid w:val="50CA0787"/>
    <w:rsid w:val="51EE3EE4"/>
    <w:rsid w:val="52815D19"/>
    <w:rsid w:val="52AA4E57"/>
    <w:rsid w:val="53177C0E"/>
    <w:rsid w:val="532C5B84"/>
    <w:rsid w:val="536D17D1"/>
    <w:rsid w:val="53902320"/>
    <w:rsid w:val="53A0341B"/>
    <w:rsid w:val="54E2383E"/>
    <w:rsid w:val="54F62BE9"/>
    <w:rsid w:val="54FF1314"/>
    <w:rsid w:val="553404C9"/>
    <w:rsid w:val="55435822"/>
    <w:rsid w:val="55453E63"/>
    <w:rsid w:val="556C024B"/>
    <w:rsid w:val="55C10AA0"/>
    <w:rsid w:val="572B5731"/>
    <w:rsid w:val="58373FC8"/>
    <w:rsid w:val="5870229A"/>
    <w:rsid w:val="58B033EB"/>
    <w:rsid w:val="58E56D52"/>
    <w:rsid w:val="58E61ADD"/>
    <w:rsid w:val="598F06A1"/>
    <w:rsid w:val="59B5223B"/>
    <w:rsid w:val="59CA3C9C"/>
    <w:rsid w:val="59F5190A"/>
    <w:rsid w:val="5A1D2B64"/>
    <w:rsid w:val="5A70741A"/>
    <w:rsid w:val="5A73164C"/>
    <w:rsid w:val="5AC65340"/>
    <w:rsid w:val="5ADF05F5"/>
    <w:rsid w:val="5B1F74E7"/>
    <w:rsid w:val="5B6E2CDB"/>
    <w:rsid w:val="5BA82F01"/>
    <w:rsid w:val="5C0E3323"/>
    <w:rsid w:val="5C8A5233"/>
    <w:rsid w:val="5CE73A8F"/>
    <w:rsid w:val="5CF858EE"/>
    <w:rsid w:val="5D3A3CCF"/>
    <w:rsid w:val="5D883983"/>
    <w:rsid w:val="5D92279B"/>
    <w:rsid w:val="5D9C082F"/>
    <w:rsid w:val="5DA60272"/>
    <w:rsid w:val="5E122AE4"/>
    <w:rsid w:val="5E56079A"/>
    <w:rsid w:val="5E766D43"/>
    <w:rsid w:val="5EBD1FFA"/>
    <w:rsid w:val="5EDD10CF"/>
    <w:rsid w:val="5F8F13BB"/>
    <w:rsid w:val="5FA10F8B"/>
    <w:rsid w:val="5FBD0750"/>
    <w:rsid w:val="60674C0F"/>
    <w:rsid w:val="609901A2"/>
    <w:rsid w:val="609D4E6C"/>
    <w:rsid w:val="60B57526"/>
    <w:rsid w:val="60FC5A2B"/>
    <w:rsid w:val="612C4675"/>
    <w:rsid w:val="613D5084"/>
    <w:rsid w:val="617A7D05"/>
    <w:rsid w:val="61861C6D"/>
    <w:rsid w:val="61991749"/>
    <w:rsid w:val="61EF1454"/>
    <w:rsid w:val="62593E90"/>
    <w:rsid w:val="625D23EE"/>
    <w:rsid w:val="62BB2188"/>
    <w:rsid w:val="636613E1"/>
    <w:rsid w:val="63B42A0B"/>
    <w:rsid w:val="63F16838"/>
    <w:rsid w:val="644F4CA2"/>
    <w:rsid w:val="646870C7"/>
    <w:rsid w:val="64705889"/>
    <w:rsid w:val="64983DB0"/>
    <w:rsid w:val="64DD6316"/>
    <w:rsid w:val="64F21A84"/>
    <w:rsid w:val="65116BC0"/>
    <w:rsid w:val="656E5F3A"/>
    <w:rsid w:val="659543EC"/>
    <w:rsid w:val="65956D31"/>
    <w:rsid w:val="65F477DC"/>
    <w:rsid w:val="662915B4"/>
    <w:rsid w:val="664803B2"/>
    <w:rsid w:val="668026C2"/>
    <w:rsid w:val="66E520A5"/>
    <w:rsid w:val="675B44A0"/>
    <w:rsid w:val="679460B8"/>
    <w:rsid w:val="67BA25BB"/>
    <w:rsid w:val="67EC69A8"/>
    <w:rsid w:val="680622D3"/>
    <w:rsid w:val="6834217D"/>
    <w:rsid w:val="68371673"/>
    <w:rsid w:val="68917F23"/>
    <w:rsid w:val="68A741F3"/>
    <w:rsid w:val="68B01467"/>
    <w:rsid w:val="68B27D65"/>
    <w:rsid w:val="68C1444C"/>
    <w:rsid w:val="68E81B7C"/>
    <w:rsid w:val="691235DF"/>
    <w:rsid w:val="69275EA1"/>
    <w:rsid w:val="69BB0BC2"/>
    <w:rsid w:val="69C67F6C"/>
    <w:rsid w:val="69C9231B"/>
    <w:rsid w:val="6A3E7D5B"/>
    <w:rsid w:val="6A755E19"/>
    <w:rsid w:val="6A950992"/>
    <w:rsid w:val="6ABD624D"/>
    <w:rsid w:val="6ADF3B69"/>
    <w:rsid w:val="6AF375F1"/>
    <w:rsid w:val="6B727409"/>
    <w:rsid w:val="6B740248"/>
    <w:rsid w:val="6B814C6A"/>
    <w:rsid w:val="6C2C3763"/>
    <w:rsid w:val="6CB50C86"/>
    <w:rsid w:val="6D771A05"/>
    <w:rsid w:val="6D8B2945"/>
    <w:rsid w:val="6DAA6163"/>
    <w:rsid w:val="6DAC3B9B"/>
    <w:rsid w:val="6DE22E9A"/>
    <w:rsid w:val="6EBB171C"/>
    <w:rsid w:val="6EDC1C75"/>
    <w:rsid w:val="705708DB"/>
    <w:rsid w:val="70E37655"/>
    <w:rsid w:val="71067154"/>
    <w:rsid w:val="718325CE"/>
    <w:rsid w:val="719A5DCE"/>
    <w:rsid w:val="71B9344F"/>
    <w:rsid w:val="71D421FA"/>
    <w:rsid w:val="71EE2147"/>
    <w:rsid w:val="71FB09CF"/>
    <w:rsid w:val="72312642"/>
    <w:rsid w:val="728B1018"/>
    <w:rsid w:val="729C3DAA"/>
    <w:rsid w:val="72F83160"/>
    <w:rsid w:val="73EC35D1"/>
    <w:rsid w:val="73F92CEC"/>
    <w:rsid w:val="74BB290E"/>
    <w:rsid w:val="75006B73"/>
    <w:rsid w:val="75426065"/>
    <w:rsid w:val="75AE53E0"/>
    <w:rsid w:val="75D56B0D"/>
    <w:rsid w:val="760E6132"/>
    <w:rsid w:val="76206C56"/>
    <w:rsid w:val="764928A0"/>
    <w:rsid w:val="76555C6F"/>
    <w:rsid w:val="76B77A7D"/>
    <w:rsid w:val="76BB697E"/>
    <w:rsid w:val="76C51C18"/>
    <w:rsid w:val="76EB04A0"/>
    <w:rsid w:val="77B474A2"/>
    <w:rsid w:val="782716BA"/>
    <w:rsid w:val="78580A05"/>
    <w:rsid w:val="78734A44"/>
    <w:rsid w:val="78996BD2"/>
    <w:rsid w:val="78A74CC3"/>
    <w:rsid w:val="78D01EAC"/>
    <w:rsid w:val="78E13546"/>
    <w:rsid w:val="797A7C24"/>
    <w:rsid w:val="797C13B8"/>
    <w:rsid w:val="79825C33"/>
    <w:rsid w:val="799E3DA6"/>
    <w:rsid w:val="79AD7678"/>
    <w:rsid w:val="79C70258"/>
    <w:rsid w:val="79F07A78"/>
    <w:rsid w:val="7A180C01"/>
    <w:rsid w:val="7A433743"/>
    <w:rsid w:val="7A8B72AB"/>
    <w:rsid w:val="7A9745C1"/>
    <w:rsid w:val="7A9D6AC7"/>
    <w:rsid w:val="7B0F7299"/>
    <w:rsid w:val="7B1C7F78"/>
    <w:rsid w:val="7B4707E1"/>
    <w:rsid w:val="7B5E0897"/>
    <w:rsid w:val="7B682FA7"/>
    <w:rsid w:val="7BA82534"/>
    <w:rsid w:val="7C3810A9"/>
    <w:rsid w:val="7CFB5D27"/>
    <w:rsid w:val="7CFC5143"/>
    <w:rsid w:val="7E1F293D"/>
    <w:rsid w:val="7E270891"/>
    <w:rsid w:val="7E2931C9"/>
    <w:rsid w:val="7E8D44C5"/>
    <w:rsid w:val="7EBF0D00"/>
    <w:rsid w:val="7EC34FC3"/>
    <w:rsid w:val="7F076C05"/>
    <w:rsid w:val="7F0974E4"/>
    <w:rsid w:val="7FA93818"/>
    <w:rsid w:val="7FCF46CA"/>
    <w:rsid w:val="7FE1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265A7"/>
  <w15:docId w15:val="{D15E4B10-7BF6-41A5-913A-F2C368A3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spacing w:line="360" w:lineRule="auto"/>
      <w:jc w:val="both"/>
    </w:pPr>
    <w:rPr>
      <w:rFonts w:eastAsia="仿宋" w:cstheme="minorBidi"/>
      <w:kern w:val="2"/>
      <w:sz w:val="24"/>
      <w:szCs w:val="22"/>
    </w:rPr>
  </w:style>
  <w:style w:type="paragraph" w:styleId="1">
    <w:name w:val="heading 1"/>
    <w:basedOn w:val="a3"/>
    <w:next w:val="a3"/>
    <w:link w:val="11"/>
    <w:uiPriority w:val="1"/>
    <w:qFormat/>
    <w:pPr>
      <w:keepNext/>
      <w:keepLines/>
      <w:spacing w:before="120" w:after="120" w:line="240" w:lineRule="auto"/>
      <w:outlineLvl w:val="0"/>
    </w:pPr>
    <w:rPr>
      <w:rFonts w:eastAsia="黑体" w:cs="Times New Roman"/>
      <w:bCs/>
      <w:kern w:val="44"/>
      <w:szCs w:val="44"/>
    </w:rPr>
  </w:style>
  <w:style w:type="paragraph" w:styleId="2">
    <w:name w:val="heading 2"/>
    <w:basedOn w:val="a3"/>
    <w:next w:val="a3"/>
    <w:link w:val="20"/>
    <w:uiPriority w:val="1"/>
    <w:qFormat/>
    <w:pPr>
      <w:keepNext/>
      <w:keepLines/>
      <w:spacing w:beforeLines="50" w:before="50" w:afterLines="50" w:after="50"/>
      <w:ind w:firstLineChars="200" w:firstLine="720"/>
      <w:outlineLvl w:val="1"/>
    </w:pPr>
    <w:rPr>
      <w:rFonts w:cs="Cambria"/>
      <w:b/>
      <w:bCs/>
      <w:kern w:val="0"/>
      <w:szCs w:val="24"/>
    </w:rPr>
  </w:style>
  <w:style w:type="paragraph" w:styleId="3">
    <w:name w:val="heading 3"/>
    <w:basedOn w:val="a3"/>
    <w:next w:val="a3"/>
    <w:link w:val="31"/>
    <w:uiPriority w:val="1"/>
    <w:qFormat/>
    <w:pPr>
      <w:keepNext/>
      <w:keepLines/>
      <w:ind w:firstLineChars="200" w:firstLine="720"/>
      <w:outlineLvl w:val="2"/>
    </w:pPr>
    <w:rPr>
      <w:rFonts w:cs="宋体"/>
      <w:b/>
      <w:bCs/>
      <w:kern w:val="0"/>
      <w:szCs w:val="24"/>
    </w:rPr>
  </w:style>
  <w:style w:type="paragraph" w:styleId="4">
    <w:name w:val="heading 4"/>
    <w:basedOn w:val="a3"/>
    <w:next w:val="a3"/>
    <w:link w:val="40"/>
    <w:uiPriority w:val="1"/>
    <w:qFormat/>
    <w:pPr>
      <w:keepNext/>
      <w:keepLines/>
      <w:spacing w:line="376" w:lineRule="atLeast"/>
      <w:outlineLvl w:val="3"/>
    </w:pPr>
    <w:rPr>
      <w:rFonts w:cs="Cambria"/>
      <w:b/>
      <w:bCs/>
      <w:kern w:val="0"/>
      <w:szCs w:val="28"/>
    </w:rPr>
  </w:style>
  <w:style w:type="paragraph" w:styleId="5">
    <w:name w:val="heading 5"/>
    <w:basedOn w:val="a3"/>
    <w:next w:val="a3"/>
    <w:link w:val="50"/>
    <w:qFormat/>
    <w:pPr>
      <w:keepNext/>
      <w:keepLines/>
      <w:numPr>
        <w:ilvl w:val="4"/>
        <w:numId w:val="1"/>
      </w:numPr>
      <w:spacing w:before="280" w:after="290" w:line="376" w:lineRule="atLeast"/>
      <w:outlineLvl w:val="4"/>
    </w:pPr>
    <w:rPr>
      <w:rFonts w:ascii="Calibri" w:eastAsia="宋体" w:hAnsi="Calibri" w:cs="Times New Roman"/>
      <w:b/>
      <w:bCs/>
      <w:kern w:val="0"/>
      <w:sz w:val="28"/>
      <w:szCs w:val="28"/>
    </w:rPr>
  </w:style>
  <w:style w:type="paragraph" w:styleId="6">
    <w:name w:val="heading 6"/>
    <w:basedOn w:val="a3"/>
    <w:next w:val="a3"/>
    <w:link w:val="60"/>
    <w:qFormat/>
    <w:pPr>
      <w:keepNext/>
      <w:keepLines/>
      <w:numPr>
        <w:ilvl w:val="5"/>
        <w:numId w:val="1"/>
      </w:numPr>
      <w:spacing w:before="240" w:after="64" w:line="320" w:lineRule="atLeast"/>
      <w:outlineLvl w:val="5"/>
    </w:pPr>
    <w:rPr>
      <w:rFonts w:ascii="Cambria" w:eastAsia="宋体" w:hAnsi="Cambria" w:cs="Cambria"/>
      <w:b/>
      <w:bCs/>
      <w:kern w:val="0"/>
      <w:szCs w:val="24"/>
    </w:rPr>
  </w:style>
  <w:style w:type="paragraph" w:styleId="7">
    <w:name w:val="heading 7"/>
    <w:basedOn w:val="a3"/>
    <w:next w:val="a3"/>
    <w:link w:val="70"/>
    <w:qFormat/>
    <w:pPr>
      <w:keepNext/>
      <w:keepLines/>
      <w:numPr>
        <w:ilvl w:val="6"/>
        <w:numId w:val="1"/>
      </w:numPr>
      <w:spacing w:before="240" w:after="64" w:line="320" w:lineRule="atLeast"/>
      <w:outlineLvl w:val="6"/>
    </w:pPr>
    <w:rPr>
      <w:rFonts w:ascii="Calibri" w:eastAsia="宋体" w:hAnsi="Calibri" w:cs="Times New Roman"/>
      <w:b/>
      <w:bCs/>
      <w:kern w:val="0"/>
      <w:szCs w:val="24"/>
    </w:rPr>
  </w:style>
  <w:style w:type="paragraph" w:styleId="8">
    <w:name w:val="heading 8"/>
    <w:basedOn w:val="a3"/>
    <w:next w:val="a3"/>
    <w:link w:val="80"/>
    <w:qFormat/>
    <w:pPr>
      <w:keepNext/>
      <w:keepLines/>
      <w:numPr>
        <w:ilvl w:val="7"/>
        <w:numId w:val="1"/>
      </w:numPr>
      <w:spacing w:before="240" w:after="64" w:line="320" w:lineRule="atLeast"/>
      <w:outlineLvl w:val="7"/>
    </w:pPr>
    <w:rPr>
      <w:rFonts w:ascii="Cambria" w:eastAsia="宋体" w:hAnsi="Cambria" w:cs="Cambria"/>
      <w:kern w:val="0"/>
      <w:szCs w:val="24"/>
    </w:rPr>
  </w:style>
  <w:style w:type="paragraph" w:styleId="9">
    <w:name w:val="heading 9"/>
    <w:basedOn w:val="a3"/>
    <w:next w:val="a3"/>
    <w:link w:val="90"/>
    <w:qFormat/>
    <w:pPr>
      <w:keepNext/>
      <w:keepLines/>
      <w:numPr>
        <w:ilvl w:val="8"/>
        <w:numId w:val="1"/>
      </w:numPr>
      <w:spacing w:before="240" w:after="64" w:line="320" w:lineRule="atLeast"/>
      <w:outlineLvl w:val="8"/>
    </w:pPr>
    <w:rPr>
      <w:rFonts w:ascii="Cambria" w:eastAsia="宋体" w:hAnsi="Cambria" w:cs="Cambria"/>
      <w:kern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caption"/>
    <w:basedOn w:val="a3"/>
    <w:next w:val="a3"/>
    <w:uiPriority w:val="35"/>
    <w:unhideWhenUsed/>
    <w:qFormat/>
    <w:rPr>
      <w:rFonts w:asciiTheme="majorHAnsi" w:eastAsia="黑体" w:hAnsiTheme="majorHAnsi" w:cstheme="majorBidi"/>
      <w:sz w:val="20"/>
      <w:szCs w:val="20"/>
    </w:rPr>
  </w:style>
  <w:style w:type="paragraph" w:styleId="a8">
    <w:name w:val="annotation text"/>
    <w:basedOn w:val="a3"/>
    <w:link w:val="a9"/>
    <w:uiPriority w:val="99"/>
    <w:unhideWhenUsed/>
    <w:qFormat/>
    <w:pPr>
      <w:spacing w:line="240" w:lineRule="auto"/>
      <w:jc w:val="left"/>
    </w:pPr>
    <w:rPr>
      <w:rFonts w:asciiTheme="minorHAnsi" w:eastAsiaTheme="minorEastAsia" w:hAnsiTheme="minorHAnsi"/>
      <w:sz w:val="21"/>
    </w:rPr>
  </w:style>
  <w:style w:type="paragraph" w:styleId="aa">
    <w:name w:val="Body Text"/>
    <w:basedOn w:val="a3"/>
    <w:link w:val="ab"/>
    <w:uiPriority w:val="1"/>
    <w:qFormat/>
    <w:pPr>
      <w:spacing w:before="21" w:line="240" w:lineRule="auto"/>
      <w:ind w:left="120"/>
      <w:jc w:val="left"/>
    </w:pPr>
    <w:rPr>
      <w:rFonts w:ascii="宋体" w:eastAsia="宋体" w:hAnsi="宋体"/>
      <w:kern w:val="0"/>
      <w:sz w:val="21"/>
      <w:szCs w:val="21"/>
      <w:lang w:eastAsia="en-US"/>
    </w:rPr>
  </w:style>
  <w:style w:type="paragraph" w:styleId="TOC3">
    <w:name w:val="toc 3"/>
    <w:basedOn w:val="a3"/>
    <w:next w:val="a3"/>
    <w:autoRedefine/>
    <w:uiPriority w:val="39"/>
    <w:unhideWhenUsed/>
    <w:qFormat/>
    <w:pPr>
      <w:spacing w:line="240" w:lineRule="auto"/>
      <w:ind w:leftChars="400" w:left="840"/>
    </w:pPr>
    <w:rPr>
      <w:sz w:val="21"/>
    </w:rPr>
  </w:style>
  <w:style w:type="paragraph" w:styleId="ac">
    <w:name w:val="Balloon Text"/>
    <w:basedOn w:val="a3"/>
    <w:link w:val="ad"/>
    <w:uiPriority w:val="99"/>
    <w:semiHidden/>
    <w:unhideWhenUsed/>
    <w:qFormat/>
    <w:pPr>
      <w:spacing w:line="240" w:lineRule="auto"/>
    </w:pPr>
    <w:rPr>
      <w:sz w:val="18"/>
      <w:szCs w:val="18"/>
    </w:rPr>
  </w:style>
  <w:style w:type="paragraph" w:styleId="ae">
    <w:name w:val="footer"/>
    <w:basedOn w:val="a3"/>
    <w:link w:val="af"/>
    <w:uiPriority w:val="99"/>
    <w:unhideWhenUsed/>
    <w:qFormat/>
    <w:pPr>
      <w:tabs>
        <w:tab w:val="center" w:pos="4153"/>
        <w:tab w:val="right" w:pos="8306"/>
      </w:tabs>
      <w:snapToGrid w:val="0"/>
      <w:jc w:val="left"/>
    </w:pPr>
    <w:rPr>
      <w:sz w:val="18"/>
      <w:szCs w:val="18"/>
    </w:rPr>
  </w:style>
  <w:style w:type="paragraph" w:styleId="af0">
    <w:name w:val="header"/>
    <w:basedOn w:val="a3"/>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autoRedefine/>
    <w:uiPriority w:val="39"/>
    <w:unhideWhenUsed/>
    <w:qFormat/>
    <w:pPr>
      <w:spacing w:line="240" w:lineRule="auto"/>
    </w:pPr>
    <w:rPr>
      <w:rFonts w:eastAsia="黑体"/>
      <w:sz w:val="21"/>
    </w:rPr>
  </w:style>
  <w:style w:type="paragraph" w:styleId="TOC4">
    <w:name w:val="toc 4"/>
    <w:basedOn w:val="a3"/>
    <w:next w:val="a3"/>
    <w:autoRedefine/>
    <w:uiPriority w:val="39"/>
    <w:unhideWhenUsed/>
    <w:qFormat/>
    <w:pPr>
      <w:ind w:leftChars="600" w:left="1260"/>
    </w:pPr>
  </w:style>
  <w:style w:type="paragraph" w:styleId="af2">
    <w:name w:val="List"/>
    <w:basedOn w:val="a3"/>
    <w:uiPriority w:val="99"/>
    <w:semiHidden/>
    <w:unhideWhenUsed/>
    <w:qFormat/>
    <w:pPr>
      <w:ind w:left="200" w:hangingChars="200" w:hanging="200"/>
      <w:contextualSpacing/>
    </w:pPr>
  </w:style>
  <w:style w:type="paragraph" w:styleId="af3">
    <w:name w:val="footnote text"/>
    <w:basedOn w:val="a3"/>
    <w:link w:val="10"/>
    <w:qFormat/>
    <w:pPr>
      <w:snapToGrid w:val="0"/>
      <w:jc w:val="left"/>
    </w:pPr>
    <w:rPr>
      <w:rFonts w:eastAsia="宋体" w:cs="Times New Roman"/>
      <w:sz w:val="18"/>
      <w:szCs w:val="18"/>
    </w:rPr>
  </w:style>
  <w:style w:type="paragraph" w:styleId="TOC2">
    <w:name w:val="toc 2"/>
    <w:basedOn w:val="a3"/>
    <w:next w:val="a3"/>
    <w:autoRedefine/>
    <w:uiPriority w:val="39"/>
    <w:unhideWhenUsed/>
    <w:qFormat/>
    <w:pPr>
      <w:spacing w:line="240" w:lineRule="auto"/>
      <w:ind w:leftChars="200" w:left="420"/>
    </w:pPr>
    <w:rPr>
      <w:sz w:val="21"/>
    </w:rPr>
  </w:style>
  <w:style w:type="paragraph" w:styleId="af4">
    <w:name w:val="Normal (Web)"/>
    <w:basedOn w:val="a3"/>
    <w:uiPriority w:val="99"/>
    <w:unhideWhenUsed/>
    <w:qFormat/>
    <w:pPr>
      <w:widowControl/>
      <w:spacing w:before="100" w:beforeAutospacing="1" w:after="100" w:afterAutospacing="1"/>
      <w:jc w:val="left"/>
    </w:pPr>
    <w:rPr>
      <w:rFonts w:ascii="宋体" w:eastAsia="宋体" w:hAnsi="宋体" w:cs="宋体"/>
      <w:kern w:val="0"/>
      <w:szCs w:val="24"/>
    </w:rPr>
  </w:style>
  <w:style w:type="paragraph" w:styleId="af5">
    <w:name w:val="annotation subject"/>
    <w:basedOn w:val="a8"/>
    <w:next w:val="a8"/>
    <w:link w:val="af6"/>
    <w:uiPriority w:val="99"/>
    <w:semiHidden/>
    <w:unhideWhenUsed/>
    <w:qFormat/>
    <w:pPr>
      <w:spacing w:line="360" w:lineRule="auto"/>
    </w:pPr>
    <w:rPr>
      <w:rFonts w:ascii="Times New Roman" w:eastAsia="仿宋" w:hAnsi="Times New Roman"/>
      <w:b/>
      <w:bCs/>
      <w:sz w:val="24"/>
    </w:rPr>
  </w:style>
  <w:style w:type="table" w:styleId="af7">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Light Shading"/>
    <w:basedOn w:val="a5"/>
    <w:uiPriority w:val="60"/>
    <w:qFormat/>
    <w:rPr>
      <w:rFonts w:asciiTheme="minorHAnsi" w:eastAsiaTheme="minorEastAsia" w:hAnsi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9">
    <w:name w:val="Strong"/>
    <w:basedOn w:val="a4"/>
    <w:uiPriority w:val="22"/>
    <w:qFormat/>
    <w:rPr>
      <w:b/>
    </w:rPr>
  </w:style>
  <w:style w:type="character" w:styleId="afa">
    <w:name w:val="Hyperlink"/>
    <w:basedOn w:val="a4"/>
    <w:uiPriority w:val="99"/>
    <w:unhideWhenUsed/>
    <w:qFormat/>
    <w:rPr>
      <w:color w:val="0563C1" w:themeColor="hyperlink"/>
      <w:u w:val="single"/>
    </w:rPr>
  </w:style>
  <w:style w:type="character" w:styleId="afb">
    <w:name w:val="annotation reference"/>
    <w:basedOn w:val="a4"/>
    <w:uiPriority w:val="99"/>
    <w:semiHidden/>
    <w:unhideWhenUsed/>
    <w:qFormat/>
    <w:rPr>
      <w:sz w:val="21"/>
      <w:szCs w:val="21"/>
    </w:rPr>
  </w:style>
  <w:style w:type="character" w:styleId="afc">
    <w:name w:val="footnote reference"/>
    <w:basedOn w:val="a4"/>
    <w:uiPriority w:val="99"/>
    <w:qFormat/>
    <w:rPr>
      <w:vertAlign w:val="superscript"/>
    </w:rPr>
  </w:style>
  <w:style w:type="character" w:customStyle="1" w:styleId="12">
    <w:name w:val="标题 1 字符"/>
    <w:basedOn w:val="a4"/>
    <w:uiPriority w:val="9"/>
    <w:qFormat/>
    <w:rPr>
      <w:rFonts w:eastAsia="黑体" w:cs="Times New Roman"/>
      <w:bCs/>
      <w:kern w:val="44"/>
      <w:szCs w:val="44"/>
    </w:rPr>
  </w:style>
  <w:style w:type="character" w:customStyle="1" w:styleId="20">
    <w:name w:val="标题 2 字符"/>
    <w:basedOn w:val="a4"/>
    <w:link w:val="2"/>
    <w:uiPriority w:val="9"/>
    <w:qFormat/>
    <w:rPr>
      <w:rFonts w:eastAsia="仿宋" w:cs="Cambria"/>
      <w:b/>
      <w:bCs/>
      <w:kern w:val="0"/>
      <w:sz w:val="24"/>
      <w:szCs w:val="24"/>
    </w:rPr>
  </w:style>
  <w:style w:type="character" w:customStyle="1" w:styleId="30">
    <w:name w:val="标题 3 字符"/>
    <w:basedOn w:val="a4"/>
    <w:uiPriority w:val="9"/>
    <w:qFormat/>
    <w:rPr>
      <w:rFonts w:eastAsia="仿宋" w:cs="宋体"/>
      <w:b/>
      <w:bCs/>
      <w:kern w:val="0"/>
      <w:szCs w:val="24"/>
    </w:rPr>
  </w:style>
  <w:style w:type="character" w:customStyle="1" w:styleId="40">
    <w:name w:val="标题 4 字符"/>
    <w:basedOn w:val="a4"/>
    <w:link w:val="4"/>
    <w:qFormat/>
    <w:rPr>
      <w:rFonts w:eastAsia="仿宋" w:cs="Cambria"/>
      <w:b/>
      <w:bCs/>
      <w:kern w:val="0"/>
      <w:szCs w:val="28"/>
    </w:rPr>
  </w:style>
  <w:style w:type="character" w:customStyle="1" w:styleId="50">
    <w:name w:val="标题 5 字符"/>
    <w:basedOn w:val="a4"/>
    <w:link w:val="5"/>
    <w:qFormat/>
    <w:rPr>
      <w:rFonts w:ascii="Calibri" w:hAnsi="Calibri" w:cs="Times New Roman"/>
      <w:b/>
      <w:bCs/>
      <w:kern w:val="0"/>
      <w:sz w:val="28"/>
      <w:szCs w:val="28"/>
    </w:rPr>
  </w:style>
  <w:style w:type="character" w:customStyle="1" w:styleId="60">
    <w:name w:val="标题 6 字符"/>
    <w:basedOn w:val="a4"/>
    <w:link w:val="6"/>
    <w:qFormat/>
    <w:rPr>
      <w:rFonts w:ascii="Cambria" w:hAnsi="Cambria" w:cs="Cambria"/>
      <w:b/>
      <w:bCs/>
      <w:kern w:val="0"/>
      <w:szCs w:val="24"/>
    </w:rPr>
  </w:style>
  <w:style w:type="character" w:customStyle="1" w:styleId="70">
    <w:name w:val="标题 7 字符"/>
    <w:basedOn w:val="a4"/>
    <w:link w:val="7"/>
    <w:qFormat/>
    <w:rPr>
      <w:rFonts w:ascii="Calibri" w:hAnsi="Calibri" w:cs="Times New Roman"/>
      <w:b/>
      <w:bCs/>
      <w:kern w:val="0"/>
      <w:szCs w:val="24"/>
    </w:rPr>
  </w:style>
  <w:style w:type="character" w:customStyle="1" w:styleId="80">
    <w:name w:val="标题 8 字符"/>
    <w:basedOn w:val="a4"/>
    <w:link w:val="8"/>
    <w:qFormat/>
    <w:rPr>
      <w:rFonts w:ascii="Cambria" w:hAnsi="Cambria" w:cs="Cambria"/>
      <w:kern w:val="0"/>
      <w:szCs w:val="24"/>
    </w:rPr>
  </w:style>
  <w:style w:type="character" w:customStyle="1" w:styleId="90">
    <w:name w:val="标题 9 字符"/>
    <w:basedOn w:val="a4"/>
    <w:link w:val="9"/>
    <w:qFormat/>
    <w:rPr>
      <w:rFonts w:ascii="Cambria" w:hAnsi="Cambria" w:cs="Cambria"/>
      <w:kern w:val="0"/>
      <w:sz w:val="20"/>
      <w:szCs w:val="20"/>
    </w:rPr>
  </w:style>
  <w:style w:type="character" w:customStyle="1" w:styleId="af1">
    <w:name w:val="页眉 字符"/>
    <w:basedOn w:val="a4"/>
    <w:link w:val="af0"/>
    <w:uiPriority w:val="99"/>
    <w:qFormat/>
    <w:rPr>
      <w:sz w:val="18"/>
      <w:szCs w:val="18"/>
    </w:rPr>
  </w:style>
  <w:style w:type="character" w:customStyle="1" w:styleId="af">
    <w:name w:val="页脚 字符"/>
    <w:basedOn w:val="a4"/>
    <w:link w:val="ae"/>
    <w:uiPriority w:val="99"/>
    <w:qFormat/>
    <w:rPr>
      <w:sz w:val="18"/>
      <w:szCs w:val="18"/>
    </w:rPr>
  </w:style>
  <w:style w:type="character" w:customStyle="1" w:styleId="10">
    <w:name w:val="脚注文本 字符1"/>
    <w:link w:val="af3"/>
    <w:qFormat/>
    <w:rPr>
      <w:rFonts w:cs="Times New Roman"/>
      <w:sz w:val="18"/>
      <w:szCs w:val="18"/>
    </w:rPr>
  </w:style>
  <w:style w:type="character" w:customStyle="1" w:styleId="afd">
    <w:name w:val="脚注文本 字符"/>
    <w:basedOn w:val="a4"/>
    <w:uiPriority w:val="99"/>
    <w:semiHidden/>
    <w:qFormat/>
    <w:rPr>
      <w:rFonts w:asciiTheme="minorHAnsi" w:eastAsiaTheme="minorEastAsia" w:hAnsiTheme="minorHAnsi"/>
      <w:sz w:val="18"/>
      <w:szCs w:val="18"/>
    </w:rPr>
  </w:style>
  <w:style w:type="paragraph" w:styleId="afe">
    <w:name w:val="List Paragraph"/>
    <w:basedOn w:val="a3"/>
    <w:uiPriority w:val="34"/>
    <w:qFormat/>
    <w:pPr>
      <w:spacing w:line="380" w:lineRule="exact"/>
      <w:ind w:firstLineChars="200" w:firstLine="420"/>
    </w:pPr>
    <w:rPr>
      <w:rFonts w:ascii="Calibri" w:eastAsia="宋体" w:hAnsi="Calibri" w:cs="Times New Roman"/>
      <w:kern w:val="0"/>
      <w:sz w:val="20"/>
      <w:szCs w:val="20"/>
    </w:rPr>
  </w:style>
  <w:style w:type="table" w:customStyle="1" w:styleId="1-51">
    <w:name w:val="网格表 1 浅色 - 着色 51"/>
    <w:basedOn w:val="a5"/>
    <w:uiPriority w:val="46"/>
    <w:qFormat/>
    <w:rPr>
      <w:rFonts w:asciiTheme="minorHAnsi" w:eastAsiaTheme="minorEastAsia" w:hAnsiTheme="minorHAnsi"/>
      <w:sz w:val="21"/>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9">
    <w:name w:val="批注文字 字符"/>
    <w:basedOn w:val="a4"/>
    <w:link w:val="a8"/>
    <w:uiPriority w:val="99"/>
    <w:qFormat/>
    <w:rPr>
      <w:rFonts w:asciiTheme="minorHAnsi" w:eastAsiaTheme="minorEastAsia" w:hAnsiTheme="minorHAnsi"/>
      <w:sz w:val="21"/>
    </w:rPr>
  </w:style>
  <w:style w:type="character" w:customStyle="1" w:styleId="ad">
    <w:name w:val="批注框文本 字符"/>
    <w:basedOn w:val="a4"/>
    <w:link w:val="ac"/>
    <w:uiPriority w:val="99"/>
    <w:semiHidden/>
    <w:qFormat/>
    <w:rPr>
      <w:rFonts w:eastAsia="仿宋"/>
      <w:sz w:val="18"/>
      <w:szCs w:val="18"/>
    </w:rPr>
  </w:style>
  <w:style w:type="character" w:customStyle="1" w:styleId="af6">
    <w:name w:val="批注主题 字符"/>
    <w:basedOn w:val="a9"/>
    <w:link w:val="af5"/>
    <w:uiPriority w:val="99"/>
    <w:semiHidden/>
    <w:qFormat/>
    <w:rPr>
      <w:rFonts w:asciiTheme="minorHAnsi" w:eastAsia="仿宋" w:hAnsiTheme="minorHAnsi"/>
      <w:b/>
      <w:bCs/>
      <w:sz w:val="21"/>
    </w:rPr>
  </w:style>
  <w:style w:type="paragraph" w:customStyle="1" w:styleId="TOC10">
    <w:name w:val="TOC 标题1"/>
    <w:basedOn w:val="1"/>
    <w:next w:val="a3"/>
    <w:uiPriority w:val="39"/>
    <w:unhideWhenUsed/>
    <w:qFormat/>
    <w:pPr>
      <w:widowControl/>
      <w:spacing w:before="240" w:after="0" w:line="259" w:lineRule="auto"/>
      <w:jc w:val="left"/>
      <w:outlineLvl w:val="9"/>
    </w:pPr>
    <w:rPr>
      <w:rFonts w:asciiTheme="majorHAnsi" w:eastAsiaTheme="majorEastAsia" w:hAnsiTheme="majorHAnsi" w:cstheme="majorBidi"/>
      <w:b/>
      <w:bCs w:val="0"/>
      <w:color w:val="2E74B5" w:themeColor="accent1" w:themeShade="BF"/>
      <w:kern w:val="0"/>
      <w:sz w:val="32"/>
      <w:szCs w:val="32"/>
    </w:rPr>
  </w:style>
  <w:style w:type="paragraph" w:customStyle="1" w:styleId="13">
    <w:name w:val="修订1"/>
    <w:hidden/>
    <w:uiPriority w:val="99"/>
    <w:semiHidden/>
    <w:qFormat/>
    <w:rPr>
      <w:rFonts w:eastAsia="仿宋" w:cstheme="minorBidi"/>
      <w:kern w:val="2"/>
      <w:sz w:val="24"/>
      <w:szCs w:val="22"/>
    </w:rPr>
  </w:style>
  <w:style w:type="paragraph" w:customStyle="1" w:styleId="EndNoteBibliographyTitle">
    <w:name w:val="EndNote Bibliography Title"/>
    <w:basedOn w:val="a3"/>
    <w:link w:val="EndNoteBibliographyTitle0"/>
    <w:qFormat/>
    <w:pPr>
      <w:jc w:val="center"/>
    </w:pPr>
    <w:rPr>
      <w:rFonts w:cs="Times New Roman"/>
    </w:rPr>
  </w:style>
  <w:style w:type="character" w:customStyle="1" w:styleId="EndNoteBibliographyTitle0">
    <w:name w:val="EndNote Bibliography Title 字符"/>
    <w:basedOn w:val="10"/>
    <w:link w:val="EndNoteBibliographyTitle"/>
    <w:qFormat/>
    <w:rPr>
      <w:rFonts w:eastAsia="仿宋" w:cs="Times New Roman"/>
      <w:sz w:val="18"/>
      <w:szCs w:val="18"/>
    </w:rPr>
  </w:style>
  <w:style w:type="paragraph" w:customStyle="1" w:styleId="EndNoteBibliography">
    <w:name w:val="EndNote Bibliography"/>
    <w:basedOn w:val="a3"/>
    <w:link w:val="EndNoteBibliography0"/>
    <w:qFormat/>
    <w:pPr>
      <w:spacing w:line="240" w:lineRule="auto"/>
    </w:pPr>
    <w:rPr>
      <w:rFonts w:cs="Times New Roman"/>
    </w:rPr>
  </w:style>
  <w:style w:type="character" w:customStyle="1" w:styleId="EndNoteBibliography0">
    <w:name w:val="EndNote Bibliography 字符"/>
    <w:basedOn w:val="10"/>
    <w:link w:val="EndNoteBibliography"/>
    <w:qFormat/>
    <w:rPr>
      <w:rFonts w:eastAsia="仿宋" w:cs="Times New Roman"/>
      <w:sz w:val="18"/>
      <w:szCs w:val="18"/>
    </w:rPr>
  </w:style>
  <w:style w:type="character" w:customStyle="1" w:styleId="ab">
    <w:name w:val="正文文本 字符"/>
    <w:basedOn w:val="a4"/>
    <w:link w:val="aa"/>
    <w:uiPriority w:val="1"/>
    <w:qFormat/>
    <w:rPr>
      <w:rFonts w:ascii="宋体" w:hAnsi="宋体"/>
      <w:kern w:val="0"/>
      <w:sz w:val="21"/>
      <w:szCs w:val="21"/>
      <w:lang w:eastAsia="en-US"/>
    </w:rPr>
  </w:style>
  <w:style w:type="paragraph" w:customStyle="1" w:styleId="14">
    <w:name w:val="列表段落1"/>
    <w:basedOn w:val="a3"/>
    <w:uiPriority w:val="34"/>
    <w:qFormat/>
    <w:pPr>
      <w:spacing w:line="240" w:lineRule="auto"/>
      <w:ind w:firstLineChars="200" w:firstLine="420"/>
    </w:pPr>
    <w:rPr>
      <w:rFonts w:ascii="Calibri" w:eastAsia="宋体" w:hAnsi="Calibri" w:cs="黑体"/>
      <w:sz w:val="21"/>
    </w:rPr>
  </w:style>
  <w:style w:type="paragraph" w:customStyle="1" w:styleId="aff">
    <w:name w:val="标准文件_章标题"/>
    <w:next w:val="a3"/>
    <w:qFormat/>
    <w:pPr>
      <w:spacing w:beforeLines="100" w:before="100" w:afterLines="100" w:after="100"/>
      <w:jc w:val="both"/>
      <w:outlineLvl w:val="0"/>
    </w:pPr>
    <w:rPr>
      <w:rFonts w:ascii="黑体" w:eastAsia="黑体"/>
      <w:sz w:val="21"/>
    </w:rPr>
  </w:style>
  <w:style w:type="paragraph" w:customStyle="1" w:styleId="aff0">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0"/>
    <w:qFormat/>
    <w:rPr>
      <w:rFonts w:ascii="宋体" w:cs="Times New Roman"/>
      <w:kern w:val="0"/>
      <w:sz w:val="21"/>
      <w:szCs w:val="20"/>
    </w:rPr>
  </w:style>
  <w:style w:type="paragraph" w:customStyle="1" w:styleId="aff1">
    <w:name w:val="标准文件_一级条标题"/>
    <w:basedOn w:val="aff"/>
    <w:next w:val="aff0"/>
    <w:qFormat/>
    <w:pPr>
      <w:spacing w:beforeLines="50" w:before="50" w:afterLines="50" w:after="50"/>
      <w:outlineLvl w:val="1"/>
    </w:pPr>
  </w:style>
  <w:style w:type="paragraph" w:customStyle="1" w:styleId="aff2">
    <w:name w:val="标准文件_正文表标题"/>
    <w:next w:val="aff0"/>
    <w:qFormat/>
    <w:pPr>
      <w:tabs>
        <w:tab w:val="left" w:pos="0"/>
      </w:tabs>
      <w:spacing w:beforeLines="50" w:before="50" w:afterLines="50" w:after="50"/>
      <w:jc w:val="center"/>
    </w:pPr>
    <w:rPr>
      <w:rFonts w:ascii="黑体" w:eastAsia="黑体"/>
      <w:sz w:val="21"/>
    </w:rPr>
  </w:style>
  <w:style w:type="paragraph" w:customStyle="1" w:styleId="aff3">
    <w:name w:val="标准文件_表格"/>
    <w:basedOn w:val="aff0"/>
    <w:qFormat/>
    <w:pPr>
      <w:ind w:firstLineChars="0" w:firstLine="0"/>
      <w:jc w:val="center"/>
    </w:pPr>
    <w:rPr>
      <w:sz w:val="18"/>
    </w:rPr>
  </w:style>
  <w:style w:type="paragraph" w:customStyle="1" w:styleId="aff4">
    <w:name w:val="标准文件_附录标识"/>
    <w:next w:val="aff0"/>
    <w:qFormat/>
    <w:pPr>
      <w:shd w:val="clear" w:color="FFFFFF" w:fill="FFFFFF"/>
      <w:tabs>
        <w:tab w:val="left" w:pos="6406"/>
      </w:tabs>
      <w:spacing w:beforeLines="25" w:before="25" w:afterLines="50" w:after="50"/>
      <w:jc w:val="center"/>
      <w:outlineLvl w:val="0"/>
    </w:pPr>
    <w:rPr>
      <w:rFonts w:ascii="黑体" w:eastAsia="黑体"/>
      <w:sz w:val="21"/>
    </w:rPr>
  </w:style>
  <w:style w:type="table" w:customStyle="1" w:styleId="TableNormal">
    <w:name w:val="Table Normal"/>
    <w:uiPriority w:val="2"/>
    <w:semiHidden/>
    <w:unhideWhenUsed/>
    <w:qFormat/>
    <w:pPr>
      <w:widowControl w:val="0"/>
    </w:pPr>
    <w:rPr>
      <w:rFonts w:asciiTheme="minorHAnsi" w:eastAsiaTheme="minorEastAsia" w:hAnsiTheme="minorHAnsi"/>
      <w:sz w:val="22"/>
      <w:lang w:eastAsia="en-US"/>
    </w:rPr>
    <w:tblPr>
      <w:tblCellMar>
        <w:top w:w="0" w:type="dxa"/>
        <w:left w:w="0" w:type="dxa"/>
        <w:bottom w:w="0" w:type="dxa"/>
        <w:right w:w="0" w:type="dxa"/>
      </w:tblCellMar>
    </w:tblPr>
  </w:style>
  <w:style w:type="paragraph" w:customStyle="1" w:styleId="TableParagraph">
    <w:name w:val="Table Paragraph"/>
    <w:basedOn w:val="a3"/>
    <w:uiPriority w:val="1"/>
    <w:qFormat/>
    <w:pPr>
      <w:spacing w:line="240" w:lineRule="auto"/>
      <w:jc w:val="left"/>
    </w:pPr>
    <w:rPr>
      <w:rFonts w:asciiTheme="minorHAnsi" w:eastAsiaTheme="minorEastAsia" w:hAnsiTheme="minorHAnsi"/>
      <w:kern w:val="0"/>
      <w:sz w:val="22"/>
      <w:lang w:eastAsia="en-US"/>
    </w:rPr>
  </w:style>
  <w:style w:type="table" w:customStyle="1" w:styleId="310">
    <w:name w:val="无格式表格 31"/>
    <w:basedOn w:val="a5"/>
    <w:uiPriority w:val="43"/>
    <w:qFormat/>
    <w:rPr>
      <w:iCs/>
      <w:color w:val="000000"/>
      <w:szCs w:val="36"/>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5">
    <w:name w:val="Placeholder Text"/>
    <w:basedOn w:val="a4"/>
    <w:uiPriority w:val="99"/>
    <w:semiHidden/>
    <w:qFormat/>
    <w:rPr>
      <w:color w:val="808080"/>
    </w:rPr>
  </w:style>
  <w:style w:type="paragraph" w:customStyle="1" w:styleId="TOC11">
    <w:name w:val="TOC 标题11"/>
    <w:basedOn w:val="1"/>
    <w:next w:val="a3"/>
    <w:uiPriority w:val="39"/>
    <w:unhideWhenUsed/>
    <w:qFormat/>
    <w:pPr>
      <w:widowControl/>
      <w:spacing w:before="240" w:after="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table" w:customStyle="1" w:styleId="15">
    <w:name w:val="网格型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网格型7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6-11">
    <w:name w:val="清单表 6 彩色 - 着色 11"/>
    <w:basedOn w:val="a5"/>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7611">
    <w:name w:val="网格型7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f2"/>
    <w:autoRedefine/>
    <w:uiPriority w:val="1"/>
    <w:qFormat/>
    <w:pPr>
      <w:adjustRightInd w:val="0"/>
      <w:snapToGrid w:val="0"/>
      <w:ind w:left="0" w:firstLineChars="0" w:firstLine="0"/>
      <w:jc w:val="center"/>
    </w:pPr>
    <w:rPr>
      <w:rFonts w:cs="Times New Roman"/>
      <w:szCs w:val="24"/>
    </w:rPr>
  </w:style>
  <w:style w:type="table" w:customStyle="1" w:styleId="7612">
    <w:name w:val="网格型76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3"/>
    <w:qFormat/>
    <w:pPr>
      <w:widowControl/>
      <w:spacing w:beforeAutospacing="1" w:afterAutospacing="1"/>
      <w:jc w:val="left"/>
    </w:pPr>
    <w:rPr>
      <w:rFonts w:ascii="宋体" w:eastAsia="宋体" w:hAnsi="宋体" w:cs="Times New Roman" w:hint="eastAsia"/>
      <w:kern w:val="0"/>
      <w:szCs w:val="24"/>
    </w:rPr>
  </w:style>
  <w:style w:type="character" w:customStyle="1" w:styleId="11">
    <w:name w:val="标题 1 字符1"/>
    <w:basedOn w:val="a4"/>
    <w:link w:val="1"/>
    <w:qFormat/>
    <w:rPr>
      <w:rFonts w:ascii="宋体" w:eastAsia="宋体" w:hAnsi="宋体" w:cs="宋体" w:hint="eastAsia"/>
      <w:b/>
      <w:bCs/>
      <w:kern w:val="44"/>
      <w:sz w:val="48"/>
      <w:szCs w:val="48"/>
    </w:rPr>
  </w:style>
  <w:style w:type="character" w:customStyle="1" w:styleId="31">
    <w:name w:val="标题 3 字符1"/>
    <w:basedOn w:val="a4"/>
    <w:link w:val="3"/>
    <w:qFormat/>
    <w:rPr>
      <w:rFonts w:ascii="宋体" w:eastAsia="仿宋" w:hAnsi="宋体" w:cs="宋体" w:hint="eastAsia"/>
      <w:b/>
      <w:bCs/>
      <w:sz w:val="27"/>
      <w:szCs w:val="27"/>
    </w:rPr>
  </w:style>
  <w:style w:type="paragraph" w:customStyle="1" w:styleId="21">
    <w:name w:val="修订2"/>
    <w:hidden/>
    <w:uiPriority w:val="99"/>
    <w:semiHidden/>
    <w:qFormat/>
    <w:rPr>
      <w:rFonts w:eastAsia="仿宋" w:cstheme="minorBidi"/>
      <w:kern w:val="2"/>
      <w:sz w:val="24"/>
      <w:szCs w:val="22"/>
    </w:rPr>
  </w:style>
  <w:style w:type="paragraph" w:customStyle="1" w:styleId="aff7">
    <w:name w:val="标准文件_三级无标题"/>
    <w:basedOn w:val="a2"/>
    <w:qFormat/>
    <w:pPr>
      <w:spacing w:beforeLines="0" w:before="0" w:afterLines="0" w:after="0"/>
      <w:outlineLvl w:val="9"/>
    </w:pPr>
    <w:rPr>
      <w:rFonts w:ascii="宋体" w:eastAsia="宋体"/>
    </w:rPr>
  </w:style>
  <w:style w:type="paragraph" w:customStyle="1" w:styleId="a2">
    <w:name w:val="标准文件_三级条标题"/>
    <w:basedOn w:val="a1"/>
    <w:next w:val="aff0"/>
    <w:qFormat/>
    <w:pPr>
      <w:widowControl/>
      <w:numPr>
        <w:ilvl w:val="4"/>
      </w:numPr>
      <w:outlineLvl w:val="3"/>
    </w:pPr>
  </w:style>
  <w:style w:type="paragraph" w:customStyle="1" w:styleId="a1">
    <w:name w:val="标准文件_二级条标题"/>
    <w:next w:val="aff0"/>
    <w:qFormat/>
    <w:pPr>
      <w:widowControl w:val="0"/>
      <w:numPr>
        <w:ilvl w:val="3"/>
        <w:numId w:val="2"/>
      </w:numPr>
      <w:spacing w:beforeLines="50" w:before="50" w:afterLines="50" w:after="50"/>
      <w:jc w:val="both"/>
      <w:outlineLvl w:val="2"/>
    </w:pPr>
    <w:rPr>
      <w:rFonts w:ascii="黑体" w:eastAsia="黑体"/>
      <w:sz w:val="21"/>
    </w:rPr>
  </w:style>
  <w:style w:type="paragraph" w:customStyle="1" w:styleId="a">
    <w:name w:val="标准文件_一级项"/>
    <w:qFormat/>
    <w:pPr>
      <w:numPr>
        <w:numId w:val="3"/>
      </w:numPr>
    </w:pPr>
    <w:rPr>
      <w:rFonts w:ascii="宋体"/>
      <w:sz w:val="21"/>
    </w:rPr>
  </w:style>
  <w:style w:type="paragraph" w:customStyle="1" w:styleId="a0">
    <w:name w:val="标准文件_字母编号列项（一级）"/>
    <w:qFormat/>
    <w:pPr>
      <w:numPr>
        <w:numId w:val="4"/>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9E01-D79D-461F-B0D2-1A9DDDC405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4AFC09C-3AA0-42B1-A8B7-891A05CD9E44}">
  <ds:schemaRefs>
    <ds:schemaRef ds:uri="http://schemas.openxmlformats.org/officeDocument/2006/bibliography"/>
  </ds:schemaRefs>
</ds:datastoreItem>
</file>

<file path=customXml/itemProps4.xml><?xml version="1.0" encoding="utf-8"?>
<ds:datastoreItem xmlns:ds="http://schemas.openxmlformats.org/officeDocument/2006/customXml" ds:itemID="{BCD560E6-92A2-4085-B5EC-80CBDD7D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35</Pages>
  <Words>5829</Words>
  <Characters>33230</Characters>
  <Application>Microsoft Office Word</Application>
  <DocSecurity>0</DocSecurity>
  <Lines>276</Lines>
  <Paragraphs>77</Paragraphs>
  <ScaleCrop>false</ScaleCrop>
  <Company>Microsoft</Company>
  <LinksUpToDate>false</LinksUpToDate>
  <CharactersWithSpaces>38982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李莉</dc:creator>
  <cp:lastModifiedBy>赵程</cp:lastModifiedBy>
  <cp:revision>122</cp:revision>
  <cp:lastPrinted>2025-02-25T07:37:00Z</cp:lastPrinted>
  <dcterms:created xsi:type="dcterms:W3CDTF">2025-07-08T14:56:00Z</dcterms:created>
  <dcterms:modified xsi:type="dcterms:W3CDTF">2026-02-10T06:24:00Z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2052-12.8.2.19823</vt:lpwstr>
  </property>
  <property fmtid="{D5CDD505-2E9C-101B-9397-08002B2CF9AE}" pid="3" name="ICV">
    <vt:lpwstr>5513FE333EEF4D12A88317D86ED0BC0C_13</vt:lpwstr>
  </property>
  <property fmtid="{D5CDD505-2E9C-101B-9397-08002B2CF9AE}" pid="4" name="KSOTemplateDocerSaveRecord">
    <vt:lpwstr>eyJoZGlkIjoiOGI4NjI5OTBmMDM1ODFlMDkzNDFlZTFiMWNhZWU5ZTMifQ==</vt:lpwstr>
  </property>
</Properties>
</file>