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F603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5E1B5F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C2B25F3">
            <w:pPr>
              <w:pStyle w:val="18"/>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367D5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E7C075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05DF7E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14:paraId="54DDA57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14:paraId="64F460D9">
            <w:pPr>
              <w:pStyle w:val="49"/>
              <w:framePr w:w="0" w:hRule="auto" w:wrap="auto" w:vAnchor="margin" w:hAnchor="text" w:xAlign="left" w:yAlign="inline"/>
              <w:ind w:firstLine="420"/>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WS</w:t>
            </w:r>
            <w:r>
              <w:fldChar w:fldCharType="end"/>
            </w:r>
            <w:bookmarkEnd w:id="3"/>
          </w:p>
        </w:tc>
      </w:tr>
    </w:tbl>
    <w:p w14:paraId="52B1C783">
      <w:pPr>
        <w:pStyle w:val="50"/>
        <w:framePr w:w="9639" w:h="624" w:hRule="exact" w:hSpace="181" w:vSpace="181" w:wrap="around"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hint="eastAsia" w:ascii="黑体" w:eastAsia="黑体"/>
          <w:b w:val="0"/>
          <w:bCs w:val="0"/>
          <w:w w:val="100"/>
          <w:sz w:val="48"/>
        </w:rPr>
        <w:t>卫生</w:t>
      </w:r>
      <w:r>
        <w:rPr>
          <w:rFonts w:ascii="黑体" w:eastAsia="黑体"/>
          <w:b w:val="0"/>
          <w:bCs w:val="0"/>
          <w:w w:val="100"/>
          <w:sz w:val="48"/>
        </w:rPr>
        <w:fldChar w:fldCharType="end"/>
      </w:r>
      <w:bookmarkEnd w:id="4"/>
      <w:r>
        <w:rPr>
          <w:rFonts w:hint="eastAsia" w:ascii="黑体" w:hAnsi="黑体" w:eastAsia="黑体"/>
          <w:b w:val="0"/>
          <w:bCs w:val="0"/>
          <w:w w:val="100"/>
          <w:sz w:val="48"/>
          <w:szCs w:val="48"/>
        </w:rPr>
        <w:t>行业标准</w:t>
      </w:r>
    </w:p>
    <w:bookmarkEnd w:id="2"/>
    <w:p w14:paraId="14E8EF14">
      <w:pPr>
        <w:pStyle w:val="195"/>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WS</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4E8A538">
      <w:pPr>
        <w:pStyle w:val="196"/>
        <w:rPr>
          <w:rFonts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fldChar w:fldCharType="separate"/>
      </w:r>
      <w:r>
        <w:rPr>
          <w:rFonts w:hAnsi="黑体"/>
        </w:rPr>
        <w:t>     </w:t>
      </w:r>
      <w:r>
        <w:rPr>
          <w:rFonts w:hAnsi="黑体"/>
        </w:rPr>
        <w:fldChar w:fldCharType="end"/>
      </w:r>
      <w:bookmarkEnd w:id="8"/>
    </w:p>
    <w:p w14:paraId="23D42E17">
      <w:pPr>
        <w:spacing w:line="240" w:lineRule="auto"/>
        <w:rPr>
          <w:rFonts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3AD9A36">
      <w:pPr>
        <w:pStyle w:val="50"/>
        <w:framePr w:w="9639" w:h="6976" w:hRule="exact" w:hSpace="0" w:vSpace="0" w:wrap="around" w:hAnchor="page" w:y="6408"/>
        <w:jc w:val="center"/>
        <w:rPr>
          <w:rFonts w:ascii="黑体" w:hAnsi="黑体" w:eastAsia="黑体"/>
          <w:b w:val="0"/>
          <w:bCs w:val="0"/>
          <w:w w:val="100"/>
          <w:lang w:val="fr-FR"/>
        </w:rPr>
      </w:pPr>
    </w:p>
    <w:p w14:paraId="7C048C84">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生活饮用水集中式供水单位卫生规范</w:t>
      </w:r>
      <w:r>
        <w:fldChar w:fldCharType="end"/>
      </w:r>
      <w:bookmarkEnd w:id="9"/>
    </w:p>
    <w:p w14:paraId="7FB7FCAE">
      <w:pPr>
        <w:framePr w:w="9639" w:h="6974" w:hRule="exact" w:wrap="around" w:vAnchor="page" w:hAnchor="page" w:x="1419" w:y="6408" w:anchorLock="1"/>
        <w:ind w:left="-1418"/>
      </w:pPr>
    </w:p>
    <w:p w14:paraId="1C6ABEC3">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Hygienic specification for unit of centralized water supply</w:t>
      </w:r>
      <w:r>
        <w:rPr>
          <w:rFonts w:eastAsia="黑体"/>
          <w:szCs w:val="28"/>
        </w:rPr>
        <w:fldChar w:fldCharType="end"/>
      </w:r>
      <w:bookmarkEnd w:id="10"/>
    </w:p>
    <w:p w14:paraId="5A595DC3">
      <w:pPr>
        <w:framePr w:w="9639" w:h="6974" w:hRule="exact" w:wrap="around" w:vAnchor="page" w:hAnchor="page" w:x="1419" w:y="6408" w:anchorLock="1"/>
        <w:spacing w:line="760" w:lineRule="exact"/>
        <w:ind w:left="-1418"/>
      </w:pPr>
    </w:p>
    <w:p w14:paraId="4B3333D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14:paraId="6EB5001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06A80C1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026.2</w:t>
      </w:r>
      <w:r>
        <w:rPr>
          <w:rFonts w:hint="eastAsia"/>
          <w:sz w:val="21"/>
          <w:szCs w:val="28"/>
        </w:rPr>
        <w:t>）</w:t>
      </w:r>
      <w:r>
        <w:rPr>
          <w:sz w:val="21"/>
          <w:szCs w:val="28"/>
        </w:rPr>
        <w:fldChar w:fldCharType="end"/>
      </w:r>
      <w:bookmarkEnd w:id="13"/>
    </w:p>
    <w:p w14:paraId="3F554BE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5C907C35">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501D8F90">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78FD032F">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1"/>
      <w:r>
        <w:rPr>
          <w:rFonts w:ascii="Times New Roman"/>
          <w:w w:val="100"/>
          <w:sz w:val="28"/>
          <w:szCs w:val="28"/>
        </w:rPr>
        <w:t>  </w:t>
      </w:r>
      <w:r>
        <w:rPr>
          <w:rStyle w:val="229"/>
          <w:rFonts w:hint="eastAsia" w:hAnsi="黑体"/>
          <w:position w:val="0"/>
        </w:rPr>
        <w:t>发</w:t>
      </w:r>
      <w:r>
        <w:rPr>
          <w:rStyle w:val="229"/>
          <w:rFonts w:hint="eastAsia" w:hAnsi="黑体"/>
          <w:spacing w:val="0"/>
          <w:position w:val="0"/>
        </w:rPr>
        <w:t>布</w:t>
      </w:r>
    </w:p>
    <w:p w14:paraId="66940F4B">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021"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E40576">
      <w:pPr>
        <w:pStyle w:val="91"/>
        <w:spacing w:after="360"/>
      </w:pPr>
      <w:bookmarkStart w:id="22" w:name="BookMark1"/>
      <w:bookmarkStart w:id="23" w:name="_Toc219964379"/>
      <w:r>
        <w:rPr>
          <w:rFonts w:hint="eastAsia"/>
          <w:spacing w:val="320"/>
        </w:rPr>
        <w:t>目</w:t>
      </w:r>
      <w:r>
        <w:rPr>
          <w:rFonts w:hint="eastAsia"/>
        </w:rPr>
        <w:t>次</w:t>
      </w:r>
    </w:p>
    <w:p w14:paraId="47C9D8B1">
      <w:pPr>
        <w:pStyle w:val="19"/>
        <w:tabs>
          <w:tab w:val="right" w:leader="dot" w:pos="9344"/>
        </w:tabs>
        <w:rPr>
          <w:rStyle w:val="3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"_Toc221711771" </w:instrText>
      </w:r>
      <w:r>
        <w:fldChar w:fldCharType="separate"/>
      </w:r>
      <w:r>
        <w:rPr>
          <w:rStyle w:val="32"/>
        </w:rPr>
        <w:t>前言</w:t>
      </w:r>
      <w:r>
        <w:rPr>
          <w:rStyle w:val="32"/>
        </w:rPr>
        <w:tab/>
      </w:r>
      <w:r>
        <w:rPr>
          <w:rStyle w:val="32"/>
        </w:rPr>
        <w:fldChar w:fldCharType="begin"/>
      </w:r>
      <w:r>
        <w:rPr>
          <w:rStyle w:val="32"/>
        </w:rPr>
        <w:instrText xml:space="preserve"> PAGEREF _Toc221711771 \h </w:instrText>
      </w:r>
      <w:r>
        <w:rPr>
          <w:rStyle w:val="32"/>
        </w:rPr>
        <w:fldChar w:fldCharType="separate"/>
      </w:r>
      <w:r>
        <w:rPr>
          <w:rStyle w:val="32"/>
        </w:rPr>
        <w:t>III</w:t>
      </w:r>
      <w:r>
        <w:rPr>
          <w:rStyle w:val="32"/>
        </w:rPr>
        <w:fldChar w:fldCharType="end"/>
      </w:r>
      <w:r>
        <w:rPr>
          <w:rStyle w:val="32"/>
        </w:rPr>
        <w:fldChar w:fldCharType="end"/>
      </w:r>
    </w:p>
    <w:p w14:paraId="28103A59">
      <w:pPr>
        <w:pStyle w:val="19"/>
        <w:tabs>
          <w:tab w:val="right" w:leader="dot" w:pos="9344"/>
        </w:tabs>
        <w:rPr>
          <w:rStyle w:val="32"/>
        </w:rPr>
      </w:pPr>
      <w:r>
        <w:fldChar w:fldCharType="begin"/>
      </w:r>
      <w:r>
        <w:instrText xml:space="preserve"> HYPERLINK \l "_Toc221711772" </w:instrText>
      </w:r>
      <w:r>
        <w:fldChar w:fldCharType="separate"/>
      </w:r>
      <w:r>
        <w:rPr>
          <w:rStyle w:val="32"/>
        </w:rPr>
        <w:t>1  范围</w:t>
      </w:r>
      <w:r>
        <w:rPr>
          <w:rStyle w:val="32"/>
        </w:rPr>
        <w:tab/>
      </w:r>
      <w:r>
        <w:rPr>
          <w:rStyle w:val="32"/>
        </w:rPr>
        <w:fldChar w:fldCharType="begin"/>
      </w:r>
      <w:r>
        <w:rPr>
          <w:rStyle w:val="32"/>
        </w:rPr>
        <w:instrText xml:space="preserve"> PAGEREF _Toc221711772 \h </w:instrText>
      </w:r>
      <w:r>
        <w:rPr>
          <w:rStyle w:val="32"/>
        </w:rPr>
        <w:fldChar w:fldCharType="separate"/>
      </w:r>
      <w:r>
        <w:rPr>
          <w:rStyle w:val="32"/>
        </w:rPr>
        <w:t>1</w:t>
      </w:r>
      <w:r>
        <w:rPr>
          <w:rStyle w:val="32"/>
        </w:rPr>
        <w:fldChar w:fldCharType="end"/>
      </w:r>
      <w:r>
        <w:rPr>
          <w:rStyle w:val="32"/>
        </w:rPr>
        <w:fldChar w:fldCharType="end"/>
      </w:r>
    </w:p>
    <w:p w14:paraId="6AC703BF">
      <w:pPr>
        <w:pStyle w:val="19"/>
        <w:tabs>
          <w:tab w:val="right" w:leader="dot" w:pos="9344"/>
        </w:tabs>
        <w:rPr>
          <w:rStyle w:val="32"/>
        </w:rPr>
      </w:pPr>
      <w:r>
        <w:fldChar w:fldCharType="begin"/>
      </w:r>
      <w:r>
        <w:instrText xml:space="preserve"> HYPERLINK \l "_Toc221711773" </w:instrText>
      </w:r>
      <w:r>
        <w:fldChar w:fldCharType="separate"/>
      </w:r>
      <w:r>
        <w:rPr>
          <w:rStyle w:val="32"/>
        </w:rPr>
        <w:t>2  规范性引用文件</w:t>
      </w:r>
      <w:r>
        <w:rPr>
          <w:rStyle w:val="32"/>
        </w:rPr>
        <w:tab/>
      </w:r>
      <w:r>
        <w:rPr>
          <w:rStyle w:val="32"/>
        </w:rPr>
        <w:fldChar w:fldCharType="begin"/>
      </w:r>
      <w:r>
        <w:rPr>
          <w:rStyle w:val="32"/>
        </w:rPr>
        <w:instrText xml:space="preserve"> PAGEREF _Toc221711773 \h </w:instrText>
      </w:r>
      <w:r>
        <w:rPr>
          <w:rStyle w:val="32"/>
        </w:rPr>
        <w:fldChar w:fldCharType="separate"/>
      </w:r>
      <w:r>
        <w:rPr>
          <w:rStyle w:val="32"/>
        </w:rPr>
        <w:t>1</w:t>
      </w:r>
      <w:r>
        <w:rPr>
          <w:rStyle w:val="32"/>
        </w:rPr>
        <w:fldChar w:fldCharType="end"/>
      </w:r>
      <w:r>
        <w:rPr>
          <w:rStyle w:val="32"/>
        </w:rPr>
        <w:fldChar w:fldCharType="end"/>
      </w:r>
    </w:p>
    <w:p w14:paraId="6597058D">
      <w:pPr>
        <w:pStyle w:val="19"/>
        <w:tabs>
          <w:tab w:val="right" w:leader="dot" w:pos="9344"/>
        </w:tabs>
        <w:rPr>
          <w:rStyle w:val="32"/>
        </w:rPr>
      </w:pPr>
      <w:r>
        <w:fldChar w:fldCharType="begin"/>
      </w:r>
      <w:r>
        <w:instrText xml:space="preserve"> HYPERLINK \l "_Toc221711774" </w:instrText>
      </w:r>
      <w:r>
        <w:fldChar w:fldCharType="separate"/>
      </w:r>
      <w:r>
        <w:rPr>
          <w:rStyle w:val="32"/>
        </w:rPr>
        <w:t>3  术语和定义</w:t>
      </w:r>
      <w:r>
        <w:rPr>
          <w:rStyle w:val="32"/>
        </w:rPr>
        <w:tab/>
      </w:r>
      <w:r>
        <w:rPr>
          <w:rStyle w:val="32"/>
        </w:rPr>
        <w:fldChar w:fldCharType="begin"/>
      </w:r>
      <w:r>
        <w:rPr>
          <w:rStyle w:val="32"/>
        </w:rPr>
        <w:instrText xml:space="preserve"> PAGEREF _Toc221711774 \h </w:instrText>
      </w:r>
      <w:r>
        <w:rPr>
          <w:rStyle w:val="32"/>
        </w:rPr>
        <w:fldChar w:fldCharType="separate"/>
      </w:r>
      <w:r>
        <w:rPr>
          <w:rStyle w:val="32"/>
        </w:rPr>
        <w:t>1</w:t>
      </w:r>
      <w:r>
        <w:rPr>
          <w:rStyle w:val="32"/>
        </w:rPr>
        <w:fldChar w:fldCharType="end"/>
      </w:r>
      <w:r>
        <w:rPr>
          <w:rStyle w:val="32"/>
        </w:rPr>
        <w:fldChar w:fldCharType="end"/>
      </w:r>
    </w:p>
    <w:p w14:paraId="2DBA0D49">
      <w:pPr>
        <w:pStyle w:val="19"/>
        <w:tabs>
          <w:tab w:val="right" w:leader="dot" w:pos="9344"/>
        </w:tabs>
        <w:rPr>
          <w:rStyle w:val="32"/>
        </w:rPr>
      </w:pPr>
      <w:r>
        <w:fldChar w:fldCharType="begin"/>
      </w:r>
      <w:r>
        <w:instrText xml:space="preserve"> HYPERLINK \l "_Toc221711775" </w:instrText>
      </w:r>
      <w:r>
        <w:fldChar w:fldCharType="separate"/>
      </w:r>
      <w:r>
        <w:rPr>
          <w:rStyle w:val="32"/>
        </w:rPr>
        <w:t>4  基本卫生要求</w:t>
      </w:r>
      <w:r>
        <w:rPr>
          <w:rStyle w:val="32"/>
        </w:rPr>
        <w:tab/>
      </w:r>
      <w:r>
        <w:rPr>
          <w:rStyle w:val="32"/>
        </w:rPr>
        <w:fldChar w:fldCharType="begin"/>
      </w:r>
      <w:r>
        <w:rPr>
          <w:rStyle w:val="32"/>
        </w:rPr>
        <w:instrText xml:space="preserve"> PAGEREF _Toc221711775 \h </w:instrText>
      </w:r>
      <w:r>
        <w:rPr>
          <w:rStyle w:val="32"/>
        </w:rPr>
        <w:fldChar w:fldCharType="separate"/>
      </w:r>
      <w:r>
        <w:rPr>
          <w:rStyle w:val="32"/>
        </w:rPr>
        <w:t>1</w:t>
      </w:r>
      <w:r>
        <w:rPr>
          <w:rStyle w:val="32"/>
        </w:rPr>
        <w:fldChar w:fldCharType="end"/>
      </w:r>
      <w:r>
        <w:rPr>
          <w:rStyle w:val="32"/>
        </w:rPr>
        <w:fldChar w:fldCharType="end"/>
      </w:r>
    </w:p>
    <w:p w14:paraId="68E0D937">
      <w:pPr>
        <w:pStyle w:val="19"/>
        <w:tabs>
          <w:tab w:val="right" w:leader="dot" w:pos="9344"/>
        </w:tabs>
        <w:rPr>
          <w:rStyle w:val="32"/>
        </w:rPr>
      </w:pPr>
      <w:r>
        <w:fldChar w:fldCharType="begin"/>
      </w:r>
      <w:r>
        <w:instrText xml:space="preserve"> HYPERLINK \l "_Toc221711780" </w:instrText>
      </w:r>
      <w:r>
        <w:fldChar w:fldCharType="separate"/>
      </w:r>
      <w:r>
        <w:rPr>
          <w:rStyle w:val="32"/>
        </w:rPr>
        <w:t>5  取水卫生要求</w:t>
      </w:r>
      <w:r>
        <w:rPr>
          <w:rStyle w:val="32"/>
        </w:rPr>
        <w:tab/>
      </w:r>
      <w:r>
        <w:rPr>
          <w:rStyle w:val="32"/>
        </w:rPr>
        <w:fldChar w:fldCharType="begin"/>
      </w:r>
      <w:r>
        <w:rPr>
          <w:rStyle w:val="32"/>
        </w:rPr>
        <w:instrText xml:space="preserve"> PAGEREF _Toc221711780 \h </w:instrText>
      </w:r>
      <w:r>
        <w:rPr>
          <w:rStyle w:val="32"/>
        </w:rPr>
        <w:fldChar w:fldCharType="separate"/>
      </w:r>
      <w:r>
        <w:rPr>
          <w:rStyle w:val="32"/>
        </w:rPr>
        <w:t>2</w:t>
      </w:r>
      <w:r>
        <w:rPr>
          <w:rStyle w:val="32"/>
        </w:rPr>
        <w:fldChar w:fldCharType="end"/>
      </w:r>
      <w:r>
        <w:rPr>
          <w:rStyle w:val="32"/>
        </w:rPr>
        <w:fldChar w:fldCharType="end"/>
      </w:r>
    </w:p>
    <w:p w14:paraId="45F2DC8C">
      <w:pPr>
        <w:pStyle w:val="19"/>
        <w:tabs>
          <w:tab w:val="right" w:leader="dot" w:pos="9344"/>
        </w:tabs>
        <w:rPr>
          <w:rStyle w:val="32"/>
        </w:rPr>
      </w:pPr>
      <w:r>
        <w:fldChar w:fldCharType="begin"/>
      </w:r>
      <w:r>
        <w:instrText xml:space="preserve"> HYPERLINK \l "_Toc221711786" </w:instrText>
      </w:r>
      <w:r>
        <w:fldChar w:fldCharType="separate"/>
      </w:r>
      <w:r>
        <w:rPr>
          <w:rStyle w:val="32"/>
        </w:rPr>
        <w:t>6  制水卫生要求</w:t>
      </w:r>
      <w:r>
        <w:rPr>
          <w:rStyle w:val="32"/>
        </w:rPr>
        <w:tab/>
      </w:r>
      <w:r>
        <w:rPr>
          <w:rStyle w:val="32"/>
        </w:rPr>
        <w:fldChar w:fldCharType="begin"/>
      </w:r>
      <w:r>
        <w:rPr>
          <w:rStyle w:val="32"/>
        </w:rPr>
        <w:instrText xml:space="preserve"> PAGEREF _Toc221711786 \h </w:instrText>
      </w:r>
      <w:r>
        <w:rPr>
          <w:rStyle w:val="32"/>
        </w:rPr>
        <w:fldChar w:fldCharType="separate"/>
      </w:r>
      <w:r>
        <w:rPr>
          <w:rStyle w:val="32"/>
        </w:rPr>
        <w:t>2</w:t>
      </w:r>
      <w:r>
        <w:rPr>
          <w:rStyle w:val="32"/>
        </w:rPr>
        <w:fldChar w:fldCharType="end"/>
      </w:r>
      <w:r>
        <w:rPr>
          <w:rStyle w:val="32"/>
        </w:rPr>
        <w:fldChar w:fldCharType="end"/>
      </w:r>
    </w:p>
    <w:p w14:paraId="346E922E">
      <w:pPr>
        <w:pStyle w:val="19"/>
        <w:tabs>
          <w:tab w:val="right" w:leader="dot" w:pos="9344"/>
        </w:tabs>
        <w:rPr>
          <w:rStyle w:val="32"/>
        </w:rPr>
      </w:pPr>
      <w:r>
        <w:fldChar w:fldCharType="begin"/>
      </w:r>
      <w:r>
        <w:instrText xml:space="preserve"> HYPERLINK \l "_Toc221711789" </w:instrText>
      </w:r>
      <w:r>
        <w:fldChar w:fldCharType="separate"/>
      </w:r>
      <w:r>
        <w:rPr>
          <w:rStyle w:val="32"/>
        </w:rPr>
        <w:t>7  输配水卫生要求</w:t>
      </w:r>
      <w:r>
        <w:rPr>
          <w:rStyle w:val="32"/>
        </w:rPr>
        <w:tab/>
      </w:r>
      <w:r>
        <w:rPr>
          <w:rStyle w:val="32"/>
        </w:rPr>
        <w:fldChar w:fldCharType="begin"/>
      </w:r>
      <w:r>
        <w:rPr>
          <w:rStyle w:val="32"/>
        </w:rPr>
        <w:instrText xml:space="preserve"> PAGEREF _Toc221711789 \h </w:instrText>
      </w:r>
      <w:r>
        <w:rPr>
          <w:rStyle w:val="32"/>
        </w:rPr>
        <w:fldChar w:fldCharType="separate"/>
      </w:r>
      <w:r>
        <w:rPr>
          <w:rStyle w:val="32"/>
        </w:rPr>
        <w:t>3</w:t>
      </w:r>
      <w:r>
        <w:rPr>
          <w:rStyle w:val="32"/>
        </w:rPr>
        <w:fldChar w:fldCharType="end"/>
      </w:r>
      <w:r>
        <w:rPr>
          <w:rStyle w:val="32"/>
        </w:rPr>
        <w:fldChar w:fldCharType="end"/>
      </w:r>
    </w:p>
    <w:p w14:paraId="099AA191">
      <w:pPr>
        <w:pStyle w:val="19"/>
        <w:tabs>
          <w:tab w:val="right" w:leader="dot" w:pos="9344"/>
        </w:tabs>
        <w:rPr>
          <w:rStyle w:val="32"/>
        </w:rPr>
      </w:pPr>
      <w:r>
        <w:fldChar w:fldCharType="begin"/>
      </w:r>
      <w:r>
        <w:instrText xml:space="preserve"> HYPERLINK \l "_Toc221711795" </w:instrText>
      </w:r>
      <w:r>
        <w:fldChar w:fldCharType="separate"/>
      </w:r>
      <w:r>
        <w:rPr>
          <w:rStyle w:val="32"/>
        </w:rPr>
        <w:t>8  突发水污染事件应急处置</w:t>
      </w:r>
      <w:r>
        <w:rPr>
          <w:rStyle w:val="32"/>
        </w:rPr>
        <w:tab/>
      </w:r>
      <w:r>
        <w:rPr>
          <w:rStyle w:val="32"/>
        </w:rPr>
        <w:fldChar w:fldCharType="begin"/>
      </w:r>
      <w:r>
        <w:rPr>
          <w:rStyle w:val="32"/>
        </w:rPr>
        <w:instrText xml:space="preserve"> PAGEREF _Toc221711795 \h </w:instrText>
      </w:r>
      <w:r>
        <w:rPr>
          <w:rStyle w:val="32"/>
        </w:rPr>
        <w:fldChar w:fldCharType="separate"/>
      </w:r>
      <w:r>
        <w:rPr>
          <w:rStyle w:val="32"/>
        </w:rPr>
        <w:t>3</w:t>
      </w:r>
      <w:r>
        <w:rPr>
          <w:rStyle w:val="32"/>
        </w:rPr>
        <w:fldChar w:fldCharType="end"/>
      </w:r>
      <w:r>
        <w:rPr>
          <w:rStyle w:val="32"/>
        </w:rPr>
        <w:fldChar w:fldCharType="end"/>
      </w:r>
    </w:p>
    <w:p w14:paraId="476EDE0C">
      <w:pPr>
        <w:pStyle w:val="19"/>
        <w:tabs>
          <w:tab w:val="right" w:leader="dot" w:pos="9344"/>
        </w:tabs>
        <w:rPr>
          <w:rStyle w:val="32"/>
        </w:rPr>
      </w:pPr>
      <w:r>
        <w:fldChar w:fldCharType="begin"/>
      </w:r>
      <w:r>
        <w:instrText xml:space="preserve"> HYPERLINK \l "_Toc221711800" </w:instrText>
      </w:r>
      <w:r>
        <w:fldChar w:fldCharType="separate"/>
      </w:r>
      <w:r>
        <w:rPr>
          <w:rStyle w:val="32"/>
        </w:rPr>
        <w:t>9  卫生管理</w:t>
      </w:r>
      <w:r>
        <w:rPr>
          <w:rStyle w:val="32"/>
        </w:rPr>
        <w:tab/>
      </w:r>
      <w:r>
        <w:rPr>
          <w:rStyle w:val="32"/>
        </w:rPr>
        <w:fldChar w:fldCharType="begin"/>
      </w:r>
      <w:r>
        <w:rPr>
          <w:rStyle w:val="32"/>
        </w:rPr>
        <w:instrText xml:space="preserve"> PAGEREF _Toc221711800 \h </w:instrText>
      </w:r>
      <w:r>
        <w:rPr>
          <w:rStyle w:val="32"/>
        </w:rPr>
        <w:fldChar w:fldCharType="separate"/>
      </w:r>
      <w:r>
        <w:rPr>
          <w:rStyle w:val="32"/>
        </w:rPr>
        <w:t>3</w:t>
      </w:r>
      <w:r>
        <w:rPr>
          <w:rStyle w:val="32"/>
        </w:rPr>
        <w:fldChar w:fldCharType="end"/>
      </w:r>
      <w:r>
        <w:rPr>
          <w:rStyle w:val="32"/>
        </w:rPr>
        <w:fldChar w:fldCharType="end"/>
      </w:r>
    </w:p>
    <w:p w14:paraId="6C6A49B0">
      <w:pPr>
        <w:pStyle w:val="19"/>
        <w:tabs>
          <w:tab w:val="right" w:leader="dot" w:pos="9344"/>
        </w:tabs>
        <w:rPr>
          <w:rFonts w:asciiTheme="minorHAnsi" w:hAnsiTheme="minorHAnsi" w:eastAsiaTheme="minorEastAsia" w:cstheme="minorBidi"/>
          <w:szCs w:val="22"/>
        </w:rPr>
      </w:pPr>
      <w:r>
        <w:fldChar w:fldCharType="begin"/>
      </w:r>
      <w:r>
        <w:instrText xml:space="preserve"> HYPERLINK \l "_Toc221711806" </w:instrText>
      </w:r>
      <w:r>
        <w:fldChar w:fldCharType="separate"/>
      </w:r>
      <w:r>
        <w:rPr>
          <w:rStyle w:val="32"/>
        </w:rPr>
        <w:t>10  水质检验</w:t>
      </w:r>
      <w:r>
        <w:rPr>
          <w:rStyle w:val="32"/>
        </w:rPr>
        <w:tab/>
      </w:r>
      <w:r>
        <w:rPr>
          <w:rStyle w:val="32"/>
        </w:rPr>
        <w:fldChar w:fldCharType="begin"/>
      </w:r>
      <w:r>
        <w:rPr>
          <w:rStyle w:val="32"/>
        </w:rPr>
        <w:instrText xml:space="preserve"> PAGEREF _Toc221711806 \h </w:instrText>
      </w:r>
      <w:r>
        <w:rPr>
          <w:rStyle w:val="32"/>
        </w:rPr>
        <w:fldChar w:fldCharType="separate"/>
      </w:r>
      <w:r>
        <w:rPr>
          <w:rStyle w:val="32"/>
        </w:rPr>
        <w:t>3</w:t>
      </w:r>
      <w:r>
        <w:rPr>
          <w:rStyle w:val="32"/>
        </w:rPr>
        <w:fldChar w:fldCharType="end"/>
      </w:r>
      <w:r>
        <w:rPr>
          <w:rStyle w:val="32"/>
        </w:rPr>
        <w:fldChar w:fldCharType="end"/>
      </w:r>
    </w:p>
    <w:p w14:paraId="540AD5B8">
      <w:pPr>
        <w:pStyle w:val="19"/>
        <w:tabs>
          <w:tab w:val="right" w:leader="dot" w:pos="9344"/>
        </w:tabs>
        <w:rPr>
          <w:rFonts w:asciiTheme="minorHAnsi" w:hAnsiTheme="minorHAnsi" w:eastAsiaTheme="minorEastAsia" w:cstheme="minorBidi"/>
          <w:szCs w:val="22"/>
        </w:rPr>
      </w:pPr>
      <w:r>
        <w:fldChar w:fldCharType="begin"/>
      </w:r>
      <w:r>
        <w:instrText xml:space="preserve"> HYPERLINK \l "_Toc221711812" </w:instrText>
      </w:r>
      <w:r>
        <w:fldChar w:fldCharType="separate"/>
      </w:r>
      <w:r>
        <w:rPr>
          <w:rStyle w:val="32"/>
        </w:rPr>
        <w:t>附录A（规范性）  不同消毒方式的卫生要求</w:t>
      </w:r>
      <w:r>
        <w:tab/>
      </w:r>
      <w:r>
        <w:fldChar w:fldCharType="begin"/>
      </w:r>
      <w:r>
        <w:instrText xml:space="preserve"> PAGEREF _Toc221711812 \h </w:instrText>
      </w:r>
      <w:r>
        <w:fldChar w:fldCharType="separate"/>
      </w:r>
      <w:r>
        <w:t>5</w:t>
      </w:r>
      <w:r>
        <w:fldChar w:fldCharType="end"/>
      </w:r>
      <w:r>
        <w:fldChar w:fldCharType="end"/>
      </w:r>
    </w:p>
    <w:p w14:paraId="4A55E503">
      <w:pPr>
        <w:pStyle w:val="19"/>
        <w:tabs>
          <w:tab w:val="right" w:leader="dot" w:pos="9344"/>
        </w:tabs>
        <w:rPr>
          <w:rFonts w:asciiTheme="minorHAnsi" w:hAnsiTheme="minorHAnsi" w:eastAsiaTheme="minorEastAsia" w:cstheme="minorBidi"/>
          <w:szCs w:val="22"/>
        </w:rPr>
      </w:pPr>
      <w:r>
        <w:fldChar w:fldCharType="begin"/>
      </w:r>
      <w:r>
        <w:instrText xml:space="preserve"> HYPERLINK \l "_Toc221711816" </w:instrText>
      </w:r>
      <w:r>
        <w:fldChar w:fldCharType="separate"/>
      </w:r>
      <w:r>
        <w:rPr>
          <w:rStyle w:val="32"/>
        </w:rPr>
        <w:t>附录B（资料性）  突发水污染事件应急处置方案</w:t>
      </w:r>
      <w:r>
        <w:tab/>
      </w:r>
      <w:r>
        <w:fldChar w:fldCharType="begin"/>
      </w:r>
      <w:r>
        <w:instrText xml:space="preserve"> PAGEREF _Toc221711816 \h </w:instrText>
      </w:r>
      <w:r>
        <w:fldChar w:fldCharType="separate"/>
      </w:r>
      <w:r>
        <w:t>6</w:t>
      </w:r>
      <w:r>
        <w:fldChar w:fldCharType="end"/>
      </w:r>
      <w:r>
        <w:fldChar w:fldCharType="end"/>
      </w:r>
    </w:p>
    <w:p w14:paraId="1D8D9449">
      <w:pPr>
        <w:pStyle w:val="19"/>
        <w:tabs>
          <w:tab w:val="right" w:leader="dot" w:pos="9344"/>
        </w:tabs>
        <w:rPr>
          <w:rFonts w:asciiTheme="minorHAnsi" w:hAnsiTheme="minorHAnsi" w:eastAsiaTheme="minorEastAsia" w:cstheme="minorBidi"/>
          <w:szCs w:val="22"/>
        </w:rPr>
      </w:pPr>
      <w:r>
        <w:fldChar w:fldCharType="begin"/>
      </w:r>
      <w:r>
        <w:instrText xml:space="preserve"> HYPERLINK \l "_Toc221711819" </w:instrText>
      </w:r>
      <w:r>
        <w:fldChar w:fldCharType="separate"/>
      </w:r>
      <w:r>
        <w:rPr>
          <w:rStyle w:val="32"/>
        </w:rPr>
        <w:t>附录C（规范性）  水质检测项目及检验频率</w:t>
      </w:r>
      <w:r>
        <w:tab/>
      </w:r>
      <w:r>
        <w:fldChar w:fldCharType="begin"/>
      </w:r>
      <w:r>
        <w:instrText xml:space="preserve"> PAGEREF _Toc221711819 \h </w:instrText>
      </w:r>
      <w:r>
        <w:fldChar w:fldCharType="separate"/>
      </w:r>
      <w:r>
        <w:t>8</w:t>
      </w:r>
      <w:r>
        <w:fldChar w:fldCharType="end"/>
      </w:r>
      <w:r>
        <w:fldChar w:fldCharType="end"/>
      </w:r>
    </w:p>
    <w:p w14:paraId="13CA68EB">
      <w:pPr>
        <w:pStyle w:val="19"/>
        <w:tabs>
          <w:tab w:val="right" w:leader="dot" w:pos="9344"/>
        </w:tabs>
        <w:rPr>
          <w:rFonts w:asciiTheme="minorHAnsi" w:hAnsiTheme="minorHAnsi" w:eastAsiaTheme="minorEastAsia" w:cstheme="minorBidi"/>
          <w:szCs w:val="22"/>
        </w:rPr>
      </w:pPr>
      <w:r>
        <w:fldChar w:fldCharType="begin"/>
      </w:r>
      <w:r>
        <w:instrText xml:space="preserve"> HYPERLINK \l "_Toc221711820" </w:instrText>
      </w:r>
      <w:r>
        <w:fldChar w:fldCharType="separate"/>
      </w:r>
      <w:r>
        <w:rPr>
          <w:rStyle w:val="32"/>
        </w:rPr>
        <w:t>参考文献</w:t>
      </w:r>
      <w:r>
        <w:tab/>
      </w:r>
      <w:r>
        <w:fldChar w:fldCharType="begin"/>
      </w:r>
      <w:r>
        <w:instrText xml:space="preserve"> PAGEREF _Toc221711820 \h </w:instrText>
      </w:r>
      <w:r>
        <w:fldChar w:fldCharType="separate"/>
      </w:r>
      <w:r>
        <w:t>9</w:t>
      </w:r>
      <w:r>
        <w:fldChar w:fldCharType="end"/>
      </w:r>
      <w:r>
        <w:fldChar w:fldCharType="end"/>
      </w:r>
    </w:p>
    <w:p w14:paraId="49BAFEFB">
      <w:pPr>
        <w:pStyle w:val="91"/>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2"/>
    <w:p w14:paraId="4D1965D7">
      <w:pPr>
        <w:pStyle w:val="89"/>
        <w:spacing w:before="560" w:after="360"/>
      </w:pPr>
      <w:bookmarkStart w:id="24" w:name="_Toc221711771"/>
      <w:bookmarkStart w:id="25" w:name="BookMark2"/>
      <w:r>
        <w:rPr>
          <w:spacing w:val="320"/>
        </w:rPr>
        <w:t>前</w:t>
      </w:r>
      <w:r>
        <w:t>言</w:t>
      </w:r>
      <w:bookmarkEnd w:id="23"/>
      <w:bookmarkEnd w:id="24"/>
    </w:p>
    <w:p w14:paraId="1D60E174">
      <w:pPr>
        <w:pStyle w:val="56"/>
        <w:ind w:firstLine="420"/>
      </w:pPr>
      <w:r>
        <w:rPr>
          <w:rFonts w:hint="eastAsia"/>
        </w:rPr>
        <w:t>本文件按照GB/T 1.1—2020《标准化工作导则  第1部分：标准化文件的结构和起草规则》的规定起草。</w:t>
      </w:r>
    </w:p>
    <w:p w14:paraId="70BDBEDE">
      <w:pPr>
        <w:pStyle w:val="56"/>
        <w:ind w:firstLine="420"/>
      </w:pPr>
      <w:r>
        <w:rPr>
          <w:rFonts w:hint="eastAsia"/>
        </w:rPr>
        <w:t>本文件由国家疾病预防控制标准委员会环境健康标准专业委员会提出，国家疾病预防控制局归口。</w:t>
      </w:r>
    </w:p>
    <w:p w14:paraId="3994EBEA">
      <w:pPr>
        <w:pStyle w:val="56"/>
        <w:ind w:firstLine="420"/>
      </w:pPr>
      <w:r>
        <w:rPr>
          <w:rFonts w:hint="eastAsia"/>
        </w:rPr>
        <w:t>本文件起草单位：江苏省卫生健康监督指导中心、中国疾病预防控制中心环境与健康相关产品安全所、甘肃省疾病预防控制局、四川省卫生健康委执法监督局、北京市疾病预防控制局、常州市疾病预防控制中心、滨州市疾病预防中心、常州市卫生监督所</w:t>
      </w:r>
      <w:r>
        <w:t xml:space="preserve"> </w:t>
      </w:r>
    </w:p>
    <w:p w14:paraId="6BE55D77">
      <w:pPr>
        <w:pStyle w:val="56"/>
        <w:ind w:firstLine="420"/>
      </w:pPr>
      <w:r>
        <w:rPr>
          <w:rFonts w:hint="eastAsia"/>
        </w:rPr>
        <w:t>本文件主要起草人：徐贻萍、姚孝元、吴涛、张岚、李勇、于一鑫、胡峰、孙姝、刘炯、杜宝佺、赵睿、谈立峰、周志荣、许洪青、褚苏春</w:t>
      </w:r>
    </w:p>
    <w:p w14:paraId="62432819">
      <w:pPr>
        <w:pStyle w:val="56"/>
        <w:ind w:firstLine="420"/>
      </w:pPr>
    </w:p>
    <w:p w14:paraId="4B6C4ABC">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5"/>
    <w:p w14:paraId="78D6D0F1">
      <w:pPr>
        <w:spacing w:line="20" w:lineRule="exact"/>
        <w:jc w:val="center"/>
        <w:rPr>
          <w:rFonts w:ascii="黑体" w:hAnsi="黑体" w:eastAsia="黑体"/>
          <w:sz w:val="32"/>
          <w:szCs w:val="32"/>
        </w:rPr>
      </w:pPr>
      <w:bookmarkStart w:id="26" w:name="BookMark4"/>
    </w:p>
    <w:p w14:paraId="4A57BD95">
      <w:pPr>
        <w:spacing w:line="20" w:lineRule="exact"/>
        <w:jc w:val="center"/>
        <w:rPr>
          <w:rFonts w:ascii="黑体" w:hAnsi="黑体" w:eastAsia="黑体"/>
          <w:sz w:val="32"/>
          <w:szCs w:val="32"/>
        </w:rPr>
      </w:pPr>
    </w:p>
    <w:sdt>
      <w:sdtPr>
        <w:tag w:val="NEW_STAND_NAME"/>
        <w:id w:val="595910757"/>
        <w:lock w:val="sdtLocked"/>
        <w:placeholder>
          <w:docPart w:val="8085FAD1744A45CE85DE3E3E37CE9442"/>
        </w:placeholder>
      </w:sdtPr>
      <w:sdtContent>
        <w:p w14:paraId="7EAD7B20">
          <w:pPr>
            <w:pStyle w:val="177"/>
            <w:spacing w:before="2" w:beforeLines="1" w:after="528" w:afterLines="220"/>
          </w:pPr>
          <w:bookmarkStart w:id="27" w:name="NEW_STAND_NAME"/>
          <w:r>
            <w:rPr>
              <w:rFonts w:hint="eastAsia"/>
            </w:rPr>
            <w:t>生活饮用水集中式供水单位卫生规范</w:t>
          </w:r>
        </w:p>
      </w:sdtContent>
    </w:sdt>
    <w:bookmarkEnd w:id="27"/>
    <w:p w14:paraId="2FD00A8C">
      <w:pPr>
        <w:pStyle w:val="104"/>
        <w:spacing w:before="240" w:after="240"/>
      </w:pPr>
      <w:bookmarkStart w:id="28" w:name="_Toc24884218"/>
      <w:bookmarkStart w:id="29" w:name="_Toc26986530"/>
      <w:bookmarkStart w:id="30" w:name="_Toc221711772"/>
      <w:bookmarkStart w:id="31" w:name="_Toc219964380"/>
      <w:bookmarkStart w:id="32" w:name="_Toc97195091"/>
      <w:bookmarkStart w:id="33" w:name="_Toc17233325"/>
      <w:bookmarkStart w:id="34" w:name="_Toc24884211"/>
      <w:bookmarkStart w:id="35" w:name="_Toc26986771"/>
      <w:bookmarkStart w:id="36" w:name="_Toc17233333"/>
      <w:bookmarkStart w:id="37" w:name="_Toc26718930"/>
      <w:bookmarkStart w:id="38" w:name="_Toc26648465"/>
      <w:r>
        <w:rPr>
          <w:rFonts w:hint="eastAsia"/>
        </w:rPr>
        <w:t>范围</w:t>
      </w:r>
      <w:bookmarkEnd w:id="28"/>
      <w:bookmarkEnd w:id="29"/>
      <w:bookmarkEnd w:id="30"/>
      <w:bookmarkEnd w:id="31"/>
      <w:bookmarkEnd w:id="32"/>
      <w:bookmarkEnd w:id="33"/>
      <w:bookmarkEnd w:id="34"/>
      <w:bookmarkEnd w:id="35"/>
      <w:bookmarkEnd w:id="36"/>
      <w:bookmarkEnd w:id="37"/>
      <w:bookmarkEnd w:id="38"/>
    </w:p>
    <w:p w14:paraId="2DBACB32">
      <w:pPr>
        <w:pStyle w:val="56"/>
        <w:ind w:firstLine="420"/>
      </w:pPr>
      <w:bookmarkStart w:id="39" w:name="_Toc17233334"/>
      <w:bookmarkStart w:id="40" w:name="_Toc24884212"/>
      <w:bookmarkStart w:id="41" w:name="_Toc24884219"/>
      <w:bookmarkStart w:id="42" w:name="_Toc17233326"/>
      <w:bookmarkStart w:id="43" w:name="_Toc26648466"/>
      <w:r>
        <w:rPr>
          <w:rFonts w:hint="eastAsia"/>
        </w:rPr>
        <w:t>本文件规定了生活饮用水集中式供水单位的基本卫生要求、取水卫生要求、制水卫生要求、输配水卫生要求、突发水污染事件应急处置、卫生管理、水质检验。</w:t>
      </w:r>
    </w:p>
    <w:p w14:paraId="2745228C">
      <w:pPr>
        <w:pStyle w:val="56"/>
        <w:ind w:firstLine="420"/>
      </w:pPr>
      <w:r>
        <w:rPr>
          <w:rFonts w:hint="eastAsia"/>
        </w:rPr>
        <w:t>本文件适用于集中式供水单位生产过程取水、制水、输水的卫生管理和水质检验。</w:t>
      </w:r>
    </w:p>
    <w:p w14:paraId="4E13389F">
      <w:pPr>
        <w:pStyle w:val="104"/>
        <w:spacing w:before="240" w:after="240"/>
      </w:pPr>
      <w:bookmarkStart w:id="44" w:name="_Toc219964381"/>
      <w:bookmarkStart w:id="45" w:name="_Toc26986531"/>
      <w:bookmarkStart w:id="46" w:name="_Toc26718931"/>
      <w:bookmarkStart w:id="47" w:name="_Toc26986772"/>
      <w:bookmarkStart w:id="48" w:name="_Toc97195092"/>
      <w:bookmarkStart w:id="49" w:name="_Toc221711773"/>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B2704E0F713D434EBA6405F6AA0993E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C1A9F7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ED621B">
      <w:pPr>
        <w:pStyle w:val="56"/>
        <w:ind w:firstLine="420"/>
      </w:pPr>
      <w:r>
        <w:rPr>
          <w:rFonts w:hint="eastAsia"/>
        </w:rPr>
        <w:t>GB 3838  地表水环境质量标准</w:t>
      </w:r>
    </w:p>
    <w:p w14:paraId="32C2A9A7">
      <w:pPr>
        <w:pStyle w:val="56"/>
        <w:ind w:firstLine="420"/>
      </w:pPr>
      <w:r>
        <w:rPr>
          <w:rFonts w:hint="eastAsia"/>
        </w:rPr>
        <w:t>GB 5749  生活饮用水卫生标准</w:t>
      </w:r>
    </w:p>
    <w:p w14:paraId="52A4F3BF">
      <w:pPr>
        <w:pStyle w:val="56"/>
        <w:ind w:firstLine="420"/>
      </w:pPr>
      <w:r>
        <w:rPr>
          <w:rFonts w:hint="eastAsia"/>
        </w:rPr>
        <w:t>GB/T 5750  生活饮用水标准检验方法</w:t>
      </w:r>
    </w:p>
    <w:p w14:paraId="1479D9E8">
      <w:pPr>
        <w:pStyle w:val="56"/>
        <w:ind w:firstLine="420"/>
      </w:pPr>
      <w:r>
        <w:rPr>
          <w:rFonts w:hint="eastAsia"/>
        </w:rPr>
        <w:t>GB/T 14848  地下水质量标准</w:t>
      </w:r>
    </w:p>
    <w:p w14:paraId="0C8D9332">
      <w:pPr>
        <w:pStyle w:val="56"/>
        <w:ind w:firstLine="420"/>
      </w:pPr>
      <w:r>
        <w:rPr>
          <w:rFonts w:hint="eastAsia"/>
        </w:rPr>
        <w:t>GB/T 17218  生活饮用水化学处理剂卫生安全性评价</w:t>
      </w:r>
    </w:p>
    <w:p w14:paraId="35C09B37">
      <w:pPr>
        <w:pStyle w:val="56"/>
        <w:ind w:firstLine="420"/>
      </w:pPr>
      <w:r>
        <w:rPr>
          <w:rFonts w:hint="eastAsia"/>
        </w:rPr>
        <w:t>GB/T 17219  生活饮用水输配水设备、防护材料及水处理材料卫生安全评价</w:t>
      </w:r>
    </w:p>
    <w:p w14:paraId="0E05F4EA">
      <w:pPr>
        <w:pStyle w:val="56"/>
        <w:ind w:firstLine="420"/>
        <w:rPr>
          <w:rFonts w:hAnsi="宋体"/>
          <w:color w:val="000000"/>
          <w:szCs w:val="21"/>
        </w:rPr>
      </w:pPr>
      <w:r>
        <w:rPr>
          <w:rFonts w:hint="eastAsia" w:hAnsi="宋体"/>
          <w:color w:val="000000"/>
          <w:szCs w:val="21"/>
        </w:rPr>
        <w:t>WS/T 10038</w:t>
      </w:r>
      <w:r>
        <w:rPr>
          <w:rFonts w:hAnsi="宋体"/>
          <w:color w:val="000000"/>
          <w:szCs w:val="21"/>
        </w:rPr>
        <w:t xml:space="preserve">  </w:t>
      </w:r>
      <w:r>
        <w:rPr>
          <w:rFonts w:hint="eastAsia" w:hAnsi="宋体"/>
          <w:color w:val="000000"/>
          <w:szCs w:val="21"/>
        </w:rPr>
        <w:t>突发饮用水污染事件应急供水水质卫生标准</w:t>
      </w:r>
    </w:p>
    <w:p w14:paraId="0DDD32A0">
      <w:pPr>
        <w:pStyle w:val="56"/>
        <w:ind w:firstLine="420"/>
      </w:pPr>
      <w:r>
        <w:rPr>
          <w:rFonts w:hint="eastAsia"/>
        </w:rPr>
        <w:t>WS/</w:t>
      </w:r>
      <w:r>
        <w:t>T XXXXX</w:t>
      </w:r>
      <w:r>
        <w:rPr>
          <w:rFonts w:hint="eastAsia"/>
        </w:rPr>
        <w:t xml:space="preserve"> </w:t>
      </w:r>
      <w:r>
        <w:t xml:space="preserve"> </w:t>
      </w:r>
      <w:r>
        <w:rPr>
          <w:rFonts w:hint="eastAsia"/>
        </w:rPr>
        <w:t>生活饮用水消毒剂和消毒设备卫生安全评价规范</w:t>
      </w:r>
    </w:p>
    <w:p w14:paraId="1D2209D9">
      <w:pPr>
        <w:pStyle w:val="104"/>
        <w:spacing w:before="240" w:after="240"/>
      </w:pPr>
      <w:bookmarkStart w:id="50" w:name="_Toc219964382"/>
      <w:bookmarkStart w:id="51" w:name="_Toc221711774"/>
      <w:bookmarkStart w:id="52" w:name="_Toc97195093"/>
      <w:r>
        <w:rPr>
          <w:rFonts w:hint="eastAsia"/>
          <w:szCs w:val="21"/>
        </w:rPr>
        <w:t>术语和定义</w:t>
      </w:r>
      <w:bookmarkEnd w:id="50"/>
      <w:bookmarkEnd w:id="51"/>
      <w:bookmarkEnd w:id="52"/>
    </w:p>
    <w:sdt>
      <w:sdtPr>
        <w:id w:val="-1909835108"/>
        <w:placeholder>
          <w:docPart w:val="D592FB1EAA924DDFA394E6484216861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A0048BC">
          <w:pPr>
            <w:pStyle w:val="56"/>
            <w:ind w:firstLine="420"/>
          </w:pPr>
          <w:bookmarkStart w:id="53" w:name="_Toc26986532"/>
          <w:bookmarkEnd w:id="53"/>
          <w:r>
            <w:t>下列术语和定义适用于本文件。</w:t>
          </w:r>
        </w:p>
      </w:sdtContent>
    </w:sdt>
    <w:p w14:paraId="381A1D2B">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集中式供水单位  unit of centralized water supply</w:t>
      </w:r>
    </w:p>
    <w:p w14:paraId="28BBE280">
      <w:pPr>
        <w:pStyle w:val="56"/>
        <w:ind w:firstLine="420"/>
      </w:pPr>
      <w:r>
        <w:rPr>
          <w:rFonts w:hint="eastAsia"/>
        </w:rPr>
        <w:t>自水源集中取水，通过输配水管网送到用户或者公共取水点的供水单位。</w:t>
      </w:r>
    </w:p>
    <w:p w14:paraId="43FDC64A">
      <w:pPr>
        <w:pStyle w:val="56"/>
        <w:ind w:firstLine="420"/>
      </w:pPr>
      <w:r>
        <w:rPr>
          <w:rFonts w:hint="eastAsia"/>
        </w:rPr>
        <w:t>[来源：G</w:t>
      </w:r>
      <w:r>
        <w:t xml:space="preserve">B 5749-2022 </w:t>
      </w:r>
      <w:r>
        <w:rPr>
          <w:rFonts w:hint="eastAsia"/>
        </w:rPr>
        <w:t xml:space="preserve">生活饮用水卫生标准 </w:t>
      </w:r>
      <w:r>
        <w:t>3.2</w:t>
      </w:r>
      <w:r>
        <w:rPr>
          <w:rFonts w:hint="eastAsia"/>
        </w:rPr>
        <w:t>，有修改]</w:t>
      </w:r>
    </w:p>
    <w:p w14:paraId="0C0E63FD">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小型集中式供水单位  unit of small centralized water supply</w:t>
      </w:r>
    </w:p>
    <w:p w14:paraId="2FCCE015">
      <w:pPr>
        <w:pStyle w:val="56"/>
        <w:ind w:firstLine="420"/>
      </w:pPr>
      <w:r>
        <w:rPr>
          <w:rFonts w:hint="eastAsia"/>
        </w:rPr>
        <w:t>设计日供水量在1000m</w:t>
      </w:r>
      <w:r>
        <w:rPr>
          <w:rFonts w:hint="eastAsia"/>
          <w:vertAlign w:val="superscript"/>
        </w:rPr>
        <w:t>3</w:t>
      </w:r>
      <w:r>
        <w:rPr>
          <w:rFonts w:hint="eastAsia"/>
        </w:rPr>
        <w:t>以下或供水人口在1万人以下的集中式供水单位。</w:t>
      </w:r>
    </w:p>
    <w:p w14:paraId="0C8EEC85">
      <w:pPr>
        <w:pStyle w:val="56"/>
        <w:ind w:firstLine="420"/>
      </w:pPr>
      <w:r>
        <w:rPr>
          <w:rFonts w:hint="eastAsia"/>
        </w:rPr>
        <w:t>[来源：GB 5749</w:t>
      </w:r>
      <w:r>
        <w:t xml:space="preserve">-2022 </w:t>
      </w:r>
      <w:r>
        <w:rPr>
          <w:rFonts w:hint="eastAsia"/>
        </w:rPr>
        <w:t>生活饮用水卫生标准 3.3，有修改]</w:t>
      </w:r>
    </w:p>
    <w:p w14:paraId="0C305970">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从业人员  personnel directly engaged in water supply and management</w:t>
      </w:r>
    </w:p>
    <w:p w14:paraId="3E35FFB8">
      <w:pPr>
        <w:pStyle w:val="56"/>
        <w:ind w:firstLine="420"/>
      </w:pPr>
      <w:r>
        <w:rPr>
          <w:rFonts w:hint="eastAsia"/>
        </w:rPr>
        <w:t>从事制水、采样、检验、水处理设施清洗消毒及维护人员。</w:t>
      </w:r>
    </w:p>
    <w:p w14:paraId="3F306007">
      <w:pPr>
        <w:pStyle w:val="56"/>
        <w:ind w:firstLine="420"/>
      </w:pPr>
      <w:r>
        <w:rPr>
          <w:rFonts w:hint="eastAsia"/>
        </w:rPr>
        <w:t>[来源：《生活饮用水卫生监督管理办法》第二十九条，有修改]</w:t>
      </w:r>
    </w:p>
    <w:p w14:paraId="219EB3ED">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突发饮用水污染事件</w:t>
      </w:r>
      <w:r>
        <w:rPr>
          <w:rFonts w:ascii="黑体" w:hAnsi="黑体" w:eastAsia="黑体"/>
        </w:rPr>
        <w:t xml:space="preserve">  </w:t>
      </w:r>
      <w:r>
        <w:rPr>
          <w:rFonts w:hint="eastAsia" w:ascii="黑体" w:hAnsi="黑体" w:eastAsia="黑体"/>
        </w:rPr>
        <w:t>sudden drinking water pollution accidents</w:t>
      </w:r>
    </w:p>
    <w:p w14:paraId="180A0362">
      <w:pPr>
        <w:pStyle w:val="56"/>
        <w:ind w:firstLine="420"/>
      </w:pPr>
      <w:r>
        <w:rPr>
          <w:rFonts w:hint="eastAsia"/>
        </w:rPr>
        <w:t>由人为因素或自然灾害引起的，导致污染物在短时间内进入饮用水水源、制水过程或供水管网，突 然造成生活饮用水水质恶化，危及或可能危及公众身体健康，需要采取紧急措施予以应对的事件。</w:t>
      </w:r>
    </w:p>
    <w:p w14:paraId="5AE86876">
      <w:pPr>
        <w:pStyle w:val="56"/>
        <w:ind w:firstLine="420"/>
        <w:rPr>
          <w:rFonts w:hAnsi="宋体"/>
          <w:color w:val="000000"/>
          <w:szCs w:val="21"/>
        </w:rPr>
      </w:pPr>
      <w:r>
        <w:rPr>
          <w:rFonts w:hint="eastAsia"/>
        </w:rPr>
        <w:t>[来源：</w:t>
      </w:r>
      <w:r>
        <w:rPr>
          <w:rFonts w:hint="eastAsia" w:hAnsi="宋体"/>
          <w:color w:val="000000"/>
          <w:szCs w:val="21"/>
        </w:rPr>
        <w:t>WS/T 10038</w:t>
      </w:r>
      <w:r>
        <w:rPr>
          <w:rFonts w:hAnsi="宋体"/>
          <w:color w:val="000000"/>
          <w:szCs w:val="21"/>
        </w:rPr>
        <w:t>-2025</w:t>
      </w:r>
      <w:r>
        <w:rPr>
          <w:rFonts w:hint="eastAsia" w:hAnsi="宋体"/>
          <w:color w:val="000000"/>
          <w:szCs w:val="21"/>
        </w:rPr>
        <w:t xml:space="preserve">突发饮用水污染事件应急供水水质卫生标准 </w:t>
      </w:r>
      <w:r>
        <w:rPr>
          <w:rFonts w:hAnsi="宋体"/>
          <w:color w:val="000000"/>
          <w:szCs w:val="21"/>
        </w:rPr>
        <w:t>3.1</w:t>
      </w:r>
      <w:r>
        <w:rPr>
          <w:rFonts w:hint="eastAsia"/>
        </w:rPr>
        <w:t>，有修改]</w:t>
      </w:r>
    </w:p>
    <w:p w14:paraId="1D3B6C1A">
      <w:pPr>
        <w:pStyle w:val="104"/>
        <w:spacing w:before="240" w:after="240"/>
      </w:pPr>
      <w:bookmarkStart w:id="54" w:name="_Toc221711775"/>
      <w:bookmarkStart w:id="55" w:name="_Toc219964383"/>
      <w:r>
        <w:rPr>
          <w:rFonts w:hint="eastAsia"/>
        </w:rPr>
        <w:t>基本卫生要求</w:t>
      </w:r>
      <w:bookmarkEnd w:id="54"/>
      <w:bookmarkEnd w:id="55"/>
    </w:p>
    <w:p w14:paraId="36B2B213">
      <w:pPr>
        <w:pStyle w:val="105"/>
        <w:spacing w:before="120" w:after="120"/>
        <w:rPr>
          <w:rFonts w:ascii="宋体" w:hAnsi="宋体" w:eastAsia="宋体"/>
        </w:rPr>
      </w:pPr>
      <w:bookmarkStart w:id="56" w:name="_Toc219964384"/>
      <w:bookmarkStart w:id="57" w:name="_Toc221711776"/>
      <w:r>
        <w:rPr>
          <w:rFonts w:hint="eastAsia" w:ascii="宋体" w:hAnsi="宋体" w:eastAsia="宋体"/>
        </w:rPr>
        <w:t>出厂水、末梢水水质应符合GB 5749要求。</w:t>
      </w:r>
      <w:bookmarkEnd w:id="56"/>
      <w:bookmarkEnd w:id="57"/>
    </w:p>
    <w:p w14:paraId="15324198">
      <w:pPr>
        <w:pStyle w:val="105"/>
        <w:spacing w:before="120" w:after="120"/>
        <w:rPr>
          <w:rFonts w:ascii="宋体" w:hAnsi="宋体" w:eastAsia="宋体"/>
        </w:rPr>
      </w:pPr>
      <w:bookmarkStart w:id="58" w:name="_Toc221711777"/>
      <w:bookmarkStart w:id="59" w:name="_Toc219964386"/>
      <w:r>
        <w:rPr>
          <w:rFonts w:hint="eastAsia" w:ascii="宋体" w:hAnsi="宋体" w:eastAsia="宋体"/>
        </w:rPr>
        <w:t>根据水质情况，选择适宜的消毒方式，不同消毒方式消毒剂和消毒副产物指标应符合附录A的规定，并符合相应的产品的卫生质量要求。</w:t>
      </w:r>
      <w:bookmarkEnd w:id="58"/>
    </w:p>
    <w:bookmarkEnd w:id="59"/>
    <w:p w14:paraId="7E7FDDF0">
      <w:pPr>
        <w:pStyle w:val="105"/>
        <w:spacing w:before="120" w:after="120"/>
        <w:rPr>
          <w:rFonts w:ascii="宋体" w:hAnsi="宋体" w:eastAsia="宋体"/>
        </w:rPr>
      </w:pPr>
      <w:bookmarkStart w:id="60" w:name="_Toc221711778"/>
      <w:bookmarkStart w:id="61" w:name="_Toc219964388"/>
      <w:r>
        <w:rPr>
          <w:rFonts w:hint="eastAsia" w:ascii="宋体" w:hAnsi="宋体" w:eastAsia="宋体"/>
        </w:rPr>
        <w:t>生活饮用水生产过程中使用的化学处理剂应符合GB/T 17218的要求，输配水设备、防护材料及水处理材料应符合GB/T 17219的要求，消毒剂和消毒设备应符合WS/</w:t>
      </w:r>
      <w:r>
        <w:rPr>
          <w:rFonts w:ascii="宋体" w:hAnsi="宋体" w:eastAsia="宋体"/>
        </w:rPr>
        <w:t>T XXXXX</w:t>
      </w:r>
      <w:r>
        <w:rPr>
          <w:rFonts w:hint="eastAsia" w:ascii="宋体" w:hAnsi="宋体" w:eastAsia="宋体"/>
        </w:rPr>
        <w:t>的要求。</w:t>
      </w:r>
      <w:bookmarkEnd w:id="60"/>
      <w:bookmarkEnd w:id="61"/>
    </w:p>
    <w:p w14:paraId="2375486D">
      <w:pPr>
        <w:pStyle w:val="105"/>
        <w:spacing w:before="120" w:after="120"/>
        <w:rPr>
          <w:rFonts w:ascii="宋体" w:hAnsi="宋体" w:eastAsia="宋体"/>
        </w:rPr>
      </w:pPr>
      <w:bookmarkStart w:id="62" w:name="_Toc219964389"/>
      <w:bookmarkStart w:id="63" w:name="_Toc221711779"/>
      <w:r>
        <w:rPr>
          <w:rFonts w:hint="eastAsia" w:ascii="宋体" w:hAnsi="宋体" w:eastAsia="宋体"/>
        </w:rPr>
        <w:t>新建水处理设备设施、管网投产前，及设备设施、管网修复后，必须严格冲洗、消毒，水质检验</w:t>
      </w:r>
      <w:r>
        <w:rPr>
          <w:rFonts w:ascii="宋体" w:hAnsi="宋体" w:eastAsia="宋体"/>
        </w:rPr>
        <w:t>符合GB 5749</w:t>
      </w:r>
      <w:r>
        <w:rPr>
          <w:rFonts w:hint="eastAsia" w:ascii="宋体" w:hAnsi="宋体" w:eastAsia="宋体"/>
        </w:rPr>
        <w:t>常规</w:t>
      </w:r>
      <w:r>
        <w:rPr>
          <w:rFonts w:ascii="宋体" w:hAnsi="宋体" w:eastAsia="宋体"/>
        </w:rPr>
        <w:t>指标</w:t>
      </w:r>
      <w:r>
        <w:rPr>
          <w:rFonts w:hint="eastAsia" w:ascii="宋体" w:hAnsi="宋体" w:eastAsia="宋体"/>
        </w:rPr>
        <w:t>要求后，方可正式通水。</w:t>
      </w:r>
      <w:bookmarkEnd w:id="62"/>
      <w:bookmarkEnd w:id="63"/>
    </w:p>
    <w:p w14:paraId="22E077A6">
      <w:pPr>
        <w:pStyle w:val="104"/>
        <w:spacing w:before="240" w:after="240"/>
      </w:pPr>
      <w:bookmarkStart w:id="64" w:name="_Toc221711780"/>
      <w:bookmarkStart w:id="65" w:name="_Toc219964390"/>
      <w:r>
        <w:rPr>
          <w:rFonts w:hint="eastAsia"/>
        </w:rPr>
        <w:t>取水卫生要求</w:t>
      </w:r>
      <w:bookmarkEnd w:id="64"/>
      <w:bookmarkEnd w:id="65"/>
    </w:p>
    <w:p w14:paraId="75A66967">
      <w:pPr>
        <w:pStyle w:val="105"/>
        <w:spacing w:before="120" w:after="120"/>
        <w:rPr>
          <w:rFonts w:ascii="宋体" w:hAnsi="宋体" w:eastAsia="宋体"/>
        </w:rPr>
      </w:pPr>
      <w:bookmarkStart w:id="66" w:name="_Toc219964391"/>
      <w:bookmarkStart w:id="67" w:name="_Toc221711781"/>
      <w:r>
        <w:rPr>
          <w:rFonts w:hint="eastAsia" w:ascii="宋体" w:hAnsi="宋体" w:eastAsia="宋体"/>
        </w:rPr>
        <w:t>取水点应设在城市和工矿企业的上游，且在饮用水水源一级保护区内。在取水点周边设置</w:t>
      </w:r>
      <w:r>
        <w:rPr>
          <w:rFonts w:hint="eastAsia" w:ascii="宋体" w:hAnsi="宋体" w:eastAsia="宋体"/>
          <w:lang w:val="en-US" w:eastAsia="zh-CN"/>
        </w:rPr>
        <w:t>保护标志</w:t>
      </w:r>
      <w:r>
        <w:rPr>
          <w:rFonts w:hint="eastAsia" w:ascii="宋体" w:hAnsi="宋体" w:eastAsia="宋体"/>
        </w:rPr>
        <w:t>。</w:t>
      </w:r>
      <w:bookmarkEnd w:id="66"/>
      <w:bookmarkEnd w:id="67"/>
      <w:bookmarkStart w:id="148" w:name="_GoBack"/>
      <w:r>
        <w:rPr>
          <w:rFonts w:hint="eastAsia" w:ascii="宋体" w:hAnsi="宋体" w:eastAsia="宋体"/>
          <w:lang w:eastAsia="zh-CN"/>
        </w:rPr>
        <w:t>宜配备视频监控装置。</w:t>
      </w:r>
      <w:bookmarkEnd w:id="148"/>
    </w:p>
    <w:p w14:paraId="5450CFEE">
      <w:pPr>
        <w:pStyle w:val="105"/>
        <w:spacing w:before="120" w:after="120"/>
        <w:rPr>
          <w:rFonts w:ascii="宋体" w:hAnsi="宋体" w:eastAsia="宋体"/>
        </w:rPr>
      </w:pPr>
      <w:bookmarkStart w:id="68" w:name="_Toc219964392"/>
      <w:bookmarkStart w:id="69" w:name="_Toc221711782"/>
      <w:r>
        <w:rPr>
          <w:rFonts w:hint="eastAsia" w:ascii="宋体" w:hAnsi="宋体" w:eastAsia="宋体"/>
        </w:rPr>
        <w:t>地表水取水的水源的水质应符合GB 3838的要求，地下水取水的水源的水质应符合GB/T 14848的要求。</w:t>
      </w:r>
      <w:bookmarkEnd w:id="68"/>
      <w:bookmarkEnd w:id="69"/>
      <w:r>
        <w:rPr>
          <w:rFonts w:hint="eastAsia" w:ascii="宋体" w:hAnsi="宋体" w:eastAsia="宋体"/>
          <w:lang w:eastAsia="zh-CN"/>
        </w:rPr>
        <w:t>水质因客观条件限制时，应采用相应的净化处理工艺，处理后的水质应符合</w:t>
      </w:r>
      <w:r>
        <w:rPr>
          <w:rFonts w:hint="eastAsia" w:ascii="宋体" w:hAnsi="宋体" w:eastAsia="宋体"/>
          <w:lang w:val="en-US" w:eastAsia="zh-CN"/>
        </w:rPr>
        <w:t>GB5749要求。</w:t>
      </w:r>
    </w:p>
    <w:p w14:paraId="1A63A4DF">
      <w:pPr>
        <w:pStyle w:val="105"/>
        <w:spacing w:before="120" w:after="120"/>
        <w:rPr>
          <w:rFonts w:ascii="宋体" w:hAnsi="宋体" w:eastAsia="宋体"/>
        </w:rPr>
      </w:pPr>
      <w:bookmarkStart w:id="70" w:name="_Toc221711783"/>
      <w:bookmarkStart w:id="71" w:name="_Toc219964393"/>
      <w:r>
        <w:rPr>
          <w:rFonts w:hint="eastAsia" w:ascii="宋体" w:hAnsi="宋体" w:eastAsia="宋体"/>
        </w:rPr>
        <w:t>地表水水源保护区</w:t>
      </w:r>
      <w:r>
        <w:rPr>
          <w:rFonts w:hint="eastAsia" w:ascii="宋体" w:hAnsi="宋体" w:eastAsia="宋体"/>
          <w:lang w:val="en-US" w:eastAsia="zh-CN"/>
        </w:rPr>
        <w:t>或保护</w:t>
      </w:r>
      <w:r>
        <w:rPr>
          <w:rFonts w:hint="eastAsia" w:ascii="宋体" w:hAnsi="宋体" w:eastAsia="宋体"/>
        </w:rPr>
        <w:t>范围</w:t>
      </w:r>
      <w:r>
        <w:rPr>
          <w:rFonts w:hint="eastAsia" w:ascii="宋体" w:hAnsi="宋体" w:eastAsia="宋体"/>
          <w:lang w:val="en-US" w:eastAsia="zh-CN"/>
        </w:rPr>
        <w:t>的卫生防护</w:t>
      </w:r>
      <w:r>
        <w:rPr>
          <w:rFonts w:hint="eastAsia" w:ascii="宋体" w:hAnsi="宋体" w:eastAsia="宋体"/>
        </w:rPr>
        <w:t>应符合下列要求：</w:t>
      </w:r>
      <w:bookmarkEnd w:id="70"/>
      <w:bookmarkEnd w:id="71"/>
    </w:p>
    <w:p w14:paraId="409B9DED">
      <w:pPr>
        <w:pStyle w:val="174"/>
        <w:rPr>
          <w:rFonts w:hAnsi="宋体"/>
        </w:rPr>
      </w:pPr>
      <w:r>
        <w:rPr>
          <w:rFonts w:hint="eastAsia" w:hAnsi="宋体"/>
        </w:rPr>
        <w:t>取水口取水构筑物上游不小于1000 m至下游不小于100 m范围内，不得有与供水设施和保护水源无关的建设项目，无工业排污口、生活排污口，无畜禽养殖、无农业种植。</w:t>
      </w:r>
    </w:p>
    <w:p w14:paraId="36DA2E91">
      <w:pPr>
        <w:pStyle w:val="174"/>
        <w:rPr>
          <w:rFonts w:hAnsi="宋体"/>
        </w:rPr>
      </w:pPr>
      <w:r>
        <w:rPr>
          <w:rFonts w:hint="eastAsia" w:hAnsi="宋体"/>
        </w:rPr>
        <w:t>其沿岸防护范围内不得堆放废渣，不得设立有毒、有害化学物品仓库、堆栈，不得设立装卸垃圾、粪便和有毒有害化学物品的码头，</w:t>
      </w:r>
      <w:r>
        <w:rPr>
          <w:rFonts w:hint="eastAsia" w:hAnsi="宋体" w:cs="宋体"/>
        </w:rPr>
        <w:t>禁止堆置和存放工业废渣、生活垃圾、粪便和其他废弃物；禁止设置油库；禁止从事种植、放养畜禽和网箱养殖活动；禁止可能污染水源的旅游活动和其他活动</w:t>
      </w:r>
      <w:r>
        <w:rPr>
          <w:rFonts w:hint="eastAsia" w:hAnsi="宋体"/>
        </w:rPr>
        <w:t>。</w:t>
      </w:r>
    </w:p>
    <w:p w14:paraId="64DB6154">
      <w:pPr>
        <w:pStyle w:val="105"/>
        <w:spacing w:before="120" w:after="120"/>
        <w:rPr>
          <w:rFonts w:ascii="宋体" w:hAnsi="宋体" w:eastAsia="宋体"/>
        </w:rPr>
      </w:pPr>
      <w:bookmarkStart w:id="72" w:name="_Toc219964394"/>
      <w:bookmarkStart w:id="73" w:name="_Toc221711784"/>
      <w:r>
        <w:rPr>
          <w:rFonts w:hint="eastAsia" w:ascii="宋体" w:hAnsi="宋体" w:eastAsia="宋体"/>
        </w:rPr>
        <w:t>地下</w:t>
      </w:r>
      <w:r>
        <w:rPr>
          <w:rFonts w:hint="eastAsia" w:ascii="宋体" w:hAnsi="宋体" w:eastAsia="宋体" w:cs="宋体"/>
          <w:sz w:val="21"/>
          <w:lang w:val="en-US" w:eastAsia="zh-CN" w:bidi="ar-SA"/>
        </w:rPr>
        <w:t>水水源保护区或保护范围的卫生防护范</w:t>
      </w:r>
      <w:r>
        <w:rPr>
          <w:rFonts w:hint="eastAsia" w:ascii="宋体" w:hAnsi="宋体" w:eastAsia="宋体"/>
        </w:rPr>
        <w:t>围应符合下列要求：</w:t>
      </w:r>
      <w:bookmarkEnd w:id="72"/>
      <w:bookmarkEnd w:id="73"/>
    </w:p>
    <w:p w14:paraId="7B60ACE6">
      <w:pPr>
        <w:pStyle w:val="174"/>
        <w:numPr>
          <w:ilvl w:val="0"/>
          <w:numId w:val="32"/>
        </w:numPr>
        <w:rPr>
          <w:rFonts w:hAnsi="宋体"/>
        </w:rPr>
      </w:pPr>
      <w:r>
        <w:rPr>
          <w:rFonts w:hint="eastAsia" w:hAnsi="宋体"/>
        </w:rPr>
        <w:t>在单井或井群的影响半径范围内，</w:t>
      </w:r>
      <w:r>
        <w:rPr>
          <w:rFonts w:hint="eastAsia" w:hAnsi="宋体" w:cs="宋体"/>
        </w:rPr>
        <w:t>禁止建设与取水设施无关的建筑物；禁止从事农牧业活动；禁止倾倒、堆放工业废渣及生活垃圾、粪便和其他有害废弃物；禁止输送污水的渠道、管道及输油管道通过本区；禁止建设油库</w:t>
      </w:r>
      <w:r>
        <w:rPr>
          <w:rFonts w:hint="eastAsia" w:hAnsi="宋体"/>
        </w:rPr>
        <w:t>。</w:t>
      </w:r>
    </w:p>
    <w:p w14:paraId="6E297BCF">
      <w:pPr>
        <w:pStyle w:val="174"/>
        <w:numPr>
          <w:ilvl w:val="0"/>
          <w:numId w:val="32"/>
        </w:numPr>
        <w:rPr>
          <w:rFonts w:hAnsi="宋体"/>
        </w:rPr>
      </w:pPr>
      <w:r>
        <w:rPr>
          <w:rFonts w:hint="eastAsia" w:hAnsi="宋体"/>
        </w:rPr>
        <w:t>工业废水和生活污水严禁排入渗坑或渗井。</w:t>
      </w:r>
    </w:p>
    <w:p w14:paraId="2382E193">
      <w:pPr>
        <w:pStyle w:val="174"/>
        <w:numPr>
          <w:ilvl w:val="0"/>
          <w:numId w:val="32"/>
        </w:numPr>
        <w:rPr>
          <w:rFonts w:hAnsi="宋体"/>
        </w:rPr>
      </w:pPr>
      <w:r>
        <w:rPr>
          <w:rFonts w:hint="eastAsia" w:hAnsi="宋体"/>
        </w:rPr>
        <w:t>人工回灌的水质应符合生活饮用水水质要求。</w:t>
      </w:r>
    </w:p>
    <w:p w14:paraId="6B7F7B53">
      <w:pPr>
        <w:pStyle w:val="105"/>
        <w:spacing w:before="120" w:after="120"/>
      </w:pPr>
      <w:bookmarkStart w:id="74" w:name="_Toc219964396"/>
      <w:bookmarkStart w:id="75" w:name="_Toc221711785"/>
      <w:r>
        <w:rPr>
          <w:rFonts w:hint="eastAsia" w:ascii="宋体" w:hAnsi="宋体" w:eastAsia="宋体"/>
        </w:rPr>
        <w:t>对生活饮用水水源的输水明渠、暗渠等，采取防护措施，</w:t>
      </w:r>
      <w:bookmarkEnd w:id="74"/>
      <w:r>
        <w:rPr>
          <w:rFonts w:hint="eastAsia" w:ascii="宋体" w:hAnsi="宋体" w:eastAsia="宋体"/>
        </w:rPr>
        <w:t>根据</w:t>
      </w:r>
      <w:r>
        <w:rPr>
          <w:rFonts w:hint="eastAsia" w:ascii="宋体" w:hAnsi="宋体" w:eastAsia="宋体"/>
          <w:lang w:val="en-US" w:eastAsia="zh-CN"/>
        </w:rPr>
        <w:t>输水</w:t>
      </w:r>
      <w:r>
        <w:rPr>
          <w:rFonts w:hint="eastAsia" w:ascii="宋体" w:hAnsi="宋体" w:eastAsia="宋体"/>
        </w:rPr>
        <w:t>线路、周边风险</w:t>
      </w:r>
      <w:r>
        <w:rPr>
          <w:rFonts w:hint="eastAsia" w:ascii="宋体" w:hAnsi="宋体" w:eastAsia="宋体"/>
          <w:lang w:val="en-US" w:eastAsia="zh-CN"/>
        </w:rPr>
        <w:t>开展</w:t>
      </w:r>
      <w:r>
        <w:rPr>
          <w:rFonts w:hint="eastAsia" w:ascii="宋体" w:hAnsi="宋体" w:eastAsia="宋体"/>
        </w:rPr>
        <w:t>定</w:t>
      </w:r>
      <w:r>
        <w:rPr>
          <w:rFonts w:hint="eastAsia" w:ascii="宋体" w:hAnsi="宋体" w:eastAsia="宋体"/>
          <w:lang w:val="en-US" w:eastAsia="zh-CN"/>
        </w:rPr>
        <w:t>期</w:t>
      </w:r>
      <w:r>
        <w:rPr>
          <w:rFonts w:hint="eastAsia" w:ascii="宋体" w:hAnsi="宋体" w:eastAsia="宋体"/>
        </w:rPr>
        <w:t>巡查，严防污染</w:t>
      </w:r>
      <w:r>
        <w:rPr>
          <w:rFonts w:hint="eastAsia" w:ascii="宋体" w:hAnsi="宋体" w:eastAsia="宋体"/>
          <w:lang w:val="en-US" w:eastAsia="zh-CN"/>
        </w:rPr>
        <w:t>发生</w:t>
      </w:r>
      <w:r>
        <w:rPr>
          <w:rFonts w:hint="eastAsia" w:ascii="宋体" w:hAnsi="宋体" w:eastAsia="宋体"/>
        </w:rPr>
        <w:t>。</w:t>
      </w:r>
      <w:bookmarkEnd w:id="75"/>
    </w:p>
    <w:p w14:paraId="0362B3BB">
      <w:pPr>
        <w:pStyle w:val="104"/>
        <w:spacing w:before="240" w:after="240"/>
      </w:pPr>
      <w:bookmarkStart w:id="76" w:name="_Toc219964397"/>
      <w:bookmarkStart w:id="77" w:name="_Toc221711786"/>
      <w:r>
        <w:rPr>
          <w:rFonts w:hint="eastAsia"/>
        </w:rPr>
        <w:t>制水卫生要求</w:t>
      </w:r>
      <w:bookmarkEnd w:id="76"/>
      <w:bookmarkEnd w:id="77"/>
    </w:p>
    <w:p w14:paraId="4E7D10CE">
      <w:pPr>
        <w:pStyle w:val="105"/>
        <w:spacing w:before="120" w:after="120"/>
        <w:rPr>
          <w:rFonts w:hAnsi="黑体"/>
        </w:rPr>
      </w:pPr>
      <w:bookmarkStart w:id="78" w:name="_Toc219964398"/>
      <w:bookmarkStart w:id="79" w:name="_Toc221711787"/>
      <w:r>
        <w:rPr>
          <w:rFonts w:hint="eastAsia" w:hAnsi="黑体"/>
        </w:rPr>
        <w:t>制水环境</w:t>
      </w:r>
      <w:bookmarkEnd w:id="78"/>
      <w:bookmarkEnd w:id="79"/>
    </w:p>
    <w:p w14:paraId="258A1171">
      <w:pPr>
        <w:pStyle w:val="65"/>
        <w:spacing w:before="120" w:after="120"/>
        <w:rPr>
          <w:rFonts w:ascii="宋体" w:hAnsi="宋体" w:eastAsia="宋体"/>
        </w:rPr>
      </w:pPr>
      <w:r>
        <w:rPr>
          <w:rFonts w:hint="eastAsia" w:ascii="宋体" w:hAnsi="宋体" w:eastAsia="宋体"/>
        </w:rPr>
        <w:t>划定厂区的范围，外围30 m范围内应保持良好的卫生状况，不得设置生活居住区，不得修建渗水厕所和渗水坑，不得堆放垃圾、粪便、废渣和铺设污水渠道</w:t>
      </w:r>
      <w:r>
        <w:rPr>
          <w:rFonts w:hint="eastAsia" w:ascii="宋体" w:hAnsi="宋体" w:eastAsia="宋体"/>
          <w:lang w:eastAsia="zh-CN"/>
        </w:rPr>
        <w:t>等</w:t>
      </w:r>
      <w:r>
        <w:rPr>
          <w:rFonts w:hint="eastAsia" w:ascii="宋体" w:hAnsi="宋体" w:eastAsia="宋体"/>
        </w:rPr>
        <w:t>。</w:t>
      </w:r>
    </w:p>
    <w:p w14:paraId="250FD858">
      <w:pPr>
        <w:pStyle w:val="65"/>
        <w:spacing w:before="120" w:after="120"/>
        <w:rPr>
          <w:rFonts w:ascii="宋体" w:hAnsi="宋体" w:eastAsia="宋体"/>
        </w:rPr>
      </w:pPr>
      <w:r>
        <w:rPr>
          <w:rFonts w:hint="eastAsia" w:ascii="宋体" w:hAnsi="宋体" w:eastAsia="宋体"/>
        </w:rPr>
        <w:t>厂区内应布局合理，构筑物、附属建筑物等分区应符合工艺流程，构筑物内应保持清洁，</w:t>
      </w:r>
      <w:r>
        <w:rPr>
          <w:rFonts w:hint="eastAsia" w:ascii="宋体" w:hAnsi="宋体" w:eastAsia="宋体"/>
          <w:lang w:val="en-US" w:eastAsia="zh-CN"/>
        </w:rPr>
        <w:t>具</w:t>
      </w:r>
      <w:r>
        <w:rPr>
          <w:rFonts w:hint="eastAsia" w:ascii="宋体" w:hAnsi="宋体" w:eastAsia="宋体"/>
        </w:rPr>
        <w:t>有良好通风条件。</w:t>
      </w:r>
    </w:p>
    <w:p w14:paraId="726CEA2C">
      <w:pPr>
        <w:pStyle w:val="65"/>
        <w:spacing w:before="120" w:after="120"/>
        <w:rPr>
          <w:rFonts w:ascii="宋体" w:hAnsi="宋体" w:eastAsia="宋体"/>
        </w:rPr>
      </w:pPr>
      <w:r>
        <w:rPr>
          <w:rFonts w:hint="eastAsia" w:ascii="宋体" w:hAnsi="宋体" w:eastAsia="宋体"/>
        </w:rPr>
        <w:t>厂区道路应硬化、地面应绿化。</w:t>
      </w:r>
    </w:p>
    <w:p w14:paraId="44EC1F49">
      <w:pPr>
        <w:pStyle w:val="65"/>
        <w:spacing w:before="120" w:after="120"/>
        <w:rPr>
          <w:rFonts w:ascii="宋体" w:hAnsi="宋体" w:eastAsia="宋体"/>
        </w:rPr>
      </w:pPr>
      <w:r>
        <w:rPr>
          <w:rFonts w:hint="eastAsia" w:ascii="宋体" w:hAnsi="宋体" w:eastAsia="宋体"/>
        </w:rPr>
        <w:t>单独设立的泵站、沉淀池和清水池的外围30 m的范围内，其卫生要求与集中式供水单位制水环境要求相同。</w:t>
      </w:r>
    </w:p>
    <w:p w14:paraId="4CB4E9AC">
      <w:pPr>
        <w:pStyle w:val="105"/>
        <w:spacing w:before="120" w:after="120"/>
        <w:rPr>
          <w:rFonts w:hAnsi="黑体"/>
        </w:rPr>
      </w:pPr>
      <w:bookmarkStart w:id="80" w:name="_Toc219964399"/>
      <w:bookmarkStart w:id="81" w:name="_Toc221711788"/>
      <w:r>
        <w:rPr>
          <w:rFonts w:hint="eastAsia" w:hAnsi="黑体"/>
        </w:rPr>
        <w:t>制水过程</w:t>
      </w:r>
      <w:bookmarkEnd w:id="80"/>
      <w:bookmarkEnd w:id="81"/>
    </w:p>
    <w:p w14:paraId="011C0727">
      <w:pPr>
        <w:pStyle w:val="65"/>
        <w:spacing w:before="120" w:after="120"/>
        <w:rPr>
          <w:rFonts w:ascii="宋体" w:hAnsi="宋体" w:eastAsia="宋体"/>
        </w:rPr>
      </w:pPr>
      <w:r>
        <w:rPr>
          <w:rFonts w:hint="eastAsia" w:ascii="宋体" w:hAnsi="宋体" w:eastAsia="宋体"/>
        </w:rPr>
        <w:t>根据水源水质、供水规模情况，选择适合的水处理工艺。</w:t>
      </w:r>
    </w:p>
    <w:p w14:paraId="317FC612">
      <w:pPr>
        <w:pStyle w:val="65"/>
        <w:spacing w:before="120" w:after="120"/>
        <w:rPr>
          <w:rFonts w:ascii="宋体" w:hAnsi="宋体" w:eastAsia="宋体"/>
        </w:rPr>
      </w:pPr>
      <w:r>
        <w:rPr>
          <w:rFonts w:hint="eastAsia" w:ascii="宋体" w:hAnsi="宋体" w:eastAsia="宋体"/>
        </w:rPr>
        <w:t>配备的水质净化消毒设施，应保证正常运转。出厂水应经消毒处理。</w:t>
      </w:r>
    </w:p>
    <w:p w14:paraId="374867EB">
      <w:pPr>
        <w:pStyle w:val="65"/>
        <w:spacing w:before="120" w:after="120"/>
      </w:pPr>
      <w:r>
        <w:rPr>
          <w:rFonts w:hint="eastAsia" w:ascii="宋体" w:hAnsi="宋体" w:eastAsia="宋体"/>
        </w:rPr>
        <w:t>采用预氧化工艺的，应检测制水过程中相应副产物指标；采用臭氧-生物活性炭工艺的，应检测活性炭吸附性能和微生物指标。相</w:t>
      </w:r>
      <w:r>
        <w:rPr>
          <w:rFonts w:ascii="宋体" w:hAnsi="宋体" w:eastAsia="宋体"/>
        </w:rPr>
        <w:t>应</w:t>
      </w:r>
      <w:r>
        <w:rPr>
          <w:rFonts w:hint="eastAsia" w:ascii="宋体" w:hAnsi="宋体" w:eastAsia="宋体"/>
        </w:rPr>
        <w:t>副</w:t>
      </w:r>
      <w:r>
        <w:rPr>
          <w:rFonts w:ascii="宋体" w:hAnsi="宋体" w:eastAsia="宋体"/>
        </w:rPr>
        <w:t>产物和微生物指标</w:t>
      </w:r>
      <w:r>
        <w:rPr>
          <w:rFonts w:hint="eastAsia" w:ascii="宋体" w:hAnsi="宋体" w:eastAsia="宋体"/>
        </w:rPr>
        <w:t>应符合G</w:t>
      </w:r>
      <w:r>
        <w:rPr>
          <w:rFonts w:ascii="宋体" w:hAnsi="宋体" w:eastAsia="宋体"/>
        </w:rPr>
        <w:t>B 5749</w:t>
      </w:r>
      <w:r>
        <w:rPr>
          <w:rFonts w:hint="eastAsia" w:ascii="宋体" w:hAnsi="宋体" w:eastAsia="宋体"/>
        </w:rPr>
        <w:t>的要求，活</w:t>
      </w:r>
      <w:r>
        <w:rPr>
          <w:rFonts w:ascii="宋体" w:hAnsi="宋体" w:eastAsia="宋体"/>
        </w:rPr>
        <w:t>性</w:t>
      </w:r>
      <w:r>
        <w:rPr>
          <w:rFonts w:hint="eastAsia" w:ascii="宋体" w:hAnsi="宋体" w:eastAsia="宋体"/>
        </w:rPr>
        <w:t>炭</w:t>
      </w:r>
      <w:r>
        <w:rPr>
          <w:rFonts w:ascii="宋体" w:hAnsi="宋体" w:eastAsia="宋体"/>
        </w:rPr>
        <w:t>吸附性能</w:t>
      </w:r>
      <w:r>
        <w:rPr>
          <w:rFonts w:hint="eastAsia" w:ascii="宋体" w:hAnsi="宋体" w:eastAsia="宋体"/>
        </w:rPr>
        <w:t>应符合</w:t>
      </w:r>
      <w:r>
        <w:rPr>
          <w:rFonts w:ascii="宋体" w:hAnsi="宋体" w:eastAsia="宋体"/>
        </w:rPr>
        <w:t>产品的</w:t>
      </w:r>
      <w:r>
        <w:rPr>
          <w:rFonts w:hint="eastAsia" w:ascii="宋体" w:hAnsi="宋体" w:eastAsia="宋体"/>
        </w:rPr>
        <w:t>卫生</w:t>
      </w:r>
      <w:r>
        <w:rPr>
          <w:rFonts w:ascii="宋体" w:hAnsi="宋体" w:eastAsia="宋体"/>
        </w:rPr>
        <w:t>质量标准。</w:t>
      </w:r>
    </w:p>
    <w:p w14:paraId="36E24713">
      <w:pPr>
        <w:pStyle w:val="65"/>
        <w:spacing w:before="120" w:after="120"/>
        <w:rPr>
          <w:rFonts w:ascii="宋体" w:hAnsi="宋体" w:eastAsia="宋体"/>
        </w:rPr>
      </w:pPr>
      <w:r>
        <w:rPr>
          <w:rFonts w:hint="eastAsia" w:ascii="宋体" w:hAnsi="宋体" w:eastAsia="宋体"/>
        </w:rPr>
        <w:t>化学处理剂和消毒剂的投加和贮存间应通风良好，防腐蚀、防潮，备有安全防范和事故的应急处理设施，并有防止二次污染的措施。</w:t>
      </w:r>
    </w:p>
    <w:p w14:paraId="28FC9A62">
      <w:pPr>
        <w:pStyle w:val="65"/>
        <w:spacing w:before="120" w:after="120"/>
        <w:rPr>
          <w:rFonts w:ascii="宋体" w:hAnsi="宋体" w:eastAsia="宋体"/>
        </w:rPr>
      </w:pPr>
      <w:r>
        <w:rPr>
          <w:rFonts w:hint="eastAsia" w:ascii="宋体" w:hAnsi="宋体" w:eastAsia="宋体"/>
        </w:rPr>
        <w:t>配备自动投加装置，在线监测化学处理剂投加量和消毒剂的浓度。根据水质运行情况，及时调整化学处理剂和消毒剂的投加剂量。</w:t>
      </w:r>
    </w:p>
    <w:p w14:paraId="0609DE05">
      <w:pPr>
        <w:pStyle w:val="65"/>
        <w:spacing w:before="120" w:after="120"/>
        <w:rPr>
          <w:rFonts w:ascii="宋体" w:hAnsi="宋体" w:eastAsia="宋体"/>
        </w:rPr>
      </w:pPr>
      <w:r>
        <w:rPr>
          <w:rFonts w:hint="eastAsia" w:ascii="宋体" w:hAnsi="宋体" w:eastAsia="宋体"/>
        </w:rPr>
        <w:t>及时排除絮凝池、沉淀池等的积泥。污泥脱水后的脱水液严禁回用。不得将未经处理的污泥水直接排入地表生活饮用水水源一级保护区水域。</w:t>
      </w:r>
    </w:p>
    <w:p w14:paraId="3F27959A">
      <w:pPr>
        <w:pStyle w:val="65"/>
        <w:spacing w:before="120" w:after="120"/>
        <w:rPr>
          <w:rFonts w:ascii="宋体" w:hAnsi="宋体" w:eastAsia="宋体"/>
        </w:rPr>
      </w:pPr>
      <w:r>
        <w:rPr>
          <w:rFonts w:hint="eastAsia" w:ascii="宋体" w:hAnsi="宋体" w:eastAsia="宋体"/>
        </w:rPr>
        <w:t>对清水池进行清洗消毒，每1—2年</w:t>
      </w:r>
      <w:r>
        <w:rPr>
          <w:rFonts w:hint="eastAsia" w:ascii="宋体" w:hAnsi="宋体" w:eastAsia="宋体"/>
          <w:lang w:val="en-US" w:eastAsia="zh-CN"/>
        </w:rPr>
        <w:t>清洗</w:t>
      </w:r>
      <w:r>
        <w:rPr>
          <w:rFonts w:hint="eastAsia" w:ascii="宋体" w:hAnsi="宋体" w:eastAsia="宋体"/>
        </w:rPr>
        <w:t>1次，水质良好时可适当延长，最长不超过</w:t>
      </w:r>
      <w:r>
        <w:rPr>
          <w:rFonts w:hint="eastAsia" w:ascii="宋体" w:hAnsi="宋体" w:eastAsia="宋体"/>
          <w:lang w:val="en-US" w:eastAsia="zh-CN"/>
        </w:rPr>
        <w:t>3</w:t>
      </w:r>
      <w:r>
        <w:rPr>
          <w:rFonts w:hint="eastAsia" w:ascii="宋体" w:hAnsi="宋体" w:eastAsia="宋体"/>
        </w:rPr>
        <w:t>年</w:t>
      </w:r>
      <w:r>
        <w:rPr>
          <w:rFonts w:hint="eastAsia" w:ascii="宋体" w:hAnsi="宋体" w:eastAsia="宋体"/>
          <w:lang w:eastAsia="zh-CN"/>
        </w:rPr>
        <w:t>，在清水池恢复运行前进行消毒处理</w:t>
      </w:r>
      <w:r>
        <w:rPr>
          <w:rFonts w:hint="eastAsia" w:ascii="宋体" w:hAnsi="宋体" w:eastAsia="宋体"/>
        </w:rPr>
        <w:t>。清水池无渗漏，顶部覆土绿化时，不得使用肥料及农药，并保持排水顺畅。</w:t>
      </w:r>
    </w:p>
    <w:p w14:paraId="6718AC9D">
      <w:pPr>
        <w:pStyle w:val="104"/>
        <w:spacing w:before="240" w:after="240"/>
      </w:pPr>
      <w:bookmarkStart w:id="82" w:name="_Toc221711789"/>
      <w:bookmarkStart w:id="83" w:name="_Toc219964400"/>
      <w:r>
        <w:rPr>
          <w:rFonts w:hint="eastAsia"/>
        </w:rPr>
        <w:t>输配水卫生要求</w:t>
      </w:r>
      <w:bookmarkEnd w:id="82"/>
      <w:bookmarkEnd w:id="83"/>
    </w:p>
    <w:p w14:paraId="37A8326D">
      <w:pPr>
        <w:pStyle w:val="105"/>
        <w:spacing w:before="120" w:after="120"/>
        <w:rPr>
          <w:rFonts w:ascii="宋体" w:hAnsi="宋体" w:eastAsia="宋体"/>
        </w:rPr>
      </w:pPr>
      <w:bookmarkStart w:id="84" w:name="_Toc219964401"/>
      <w:bookmarkStart w:id="85" w:name="_Toc221711790"/>
      <w:r>
        <w:rPr>
          <w:rFonts w:hint="eastAsia" w:ascii="宋体" w:hAnsi="宋体" w:eastAsia="宋体"/>
        </w:rPr>
        <w:t>生活饮用水的输水、蓄水和配水等设施应密封，严禁与排水设施及非生活饮用水管网相连接。</w:t>
      </w:r>
      <w:bookmarkEnd w:id="84"/>
      <w:bookmarkEnd w:id="85"/>
    </w:p>
    <w:p w14:paraId="10850D7F">
      <w:pPr>
        <w:pStyle w:val="105"/>
        <w:spacing w:before="120" w:after="120"/>
        <w:rPr>
          <w:rFonts w:ascii="宋体" w:hAnsi="宋体" w:eastAsia="宋体"/>
        </w:rPr>
      </w:pPr>
      <w:bookmarkStart w:id="86" w:name="_Toc221711791"/>
      <w:bookmarkStart w:id="87" w:name="_Toc219964403"/>
      <w:r>
        <w:rPr>
          <w:rFonts w:hint="eastAsia" w:ascii="宋体" w:hAnsi="宋体" w:eastAsia="宋体"/>
        </w:rPr>
        <w:t>供水管网连接存在倒流可能的管道，应设置防止倒流污染的装置。</w:t>
      </w:r>
      <w:bookmarkEnd w:id="86"/>
      <w:bookmarkEnd w:id="87"/>
    </w:p>
    <w:p w14:paraId="037F6753">
      <w:pPr>
        <w:pStyle w:val="105"/>
        <w:spacing w:before="120" w:after="120"/>
        <w:rPr>
          <w:rFonts w:ascii="宋体" w:hAnsi="宋体" w:eastAsia="宋体"/>
        </w:rPr>
      </w:pPr>
      <w:bookmarkStart w:id="88" w:name="_Toc221711792"/>
      <w:bookmarkStart w:id="89" w:name="_Toc219964404"/>
      <w:r>
        <w:rPr>
          <w:rFonts w:hint="eastAsia" w:ascii="宋体" w:hAnsi="宋体" w:eastAsia="宋体"/>
        </w:rPr>
        <w:t>供水管与污水管交叉或平行时，供水管应布置在上方，且不应有接口重叠。</w:t>
      </w:r>
      <w:bookmarkEnd w:id="88"/>
      <w:bookmarkEnd w:id="89"/>
    </w:p>
    <w:p w14:paraId="31C56BB0">
      <w:pPr>
        <w:pStyle w:val="105"/>
        <w:spacing w:before="120" w:after="120"/>
        <w:rPr>
          <w:rFonts w:ascii="宋体" w:hAnsi="宋体" w:eastAsia="宋体"/>
        </w:rPr>
      </w:pPr>
      <w:bookmarkStart w:id="90" w:name="_Toc221711793"/>
      <w:bookmarkStart w:id="91" w:name="_Toc219964405"/>
      <w:r>
        <w:rPr>
          <w:rFonts w:hint="eastAsia" w:ascii="宋体" w:hAnsi="宋体" w:eastAsia="宋体"/>
        </w:rPr>
        <w:t>供水末梢应定期冲洗，排放存水。</w:t>
      </w:r>
      <w:bookmarkEnd w:id="90"/>
      <w:bookmarkEnd w:id="91"/>
    </w:p>
    <w:p w14:paraId="1BED4978">
      <w:pPr>
        <w:pStyle w:val="105"/>
        <w:spacing w:before="120" w:after="120"/>
        <w:rPr>
          <w:rFonts w:ascii="宋体" w:hAnsi="宋体" w:eastAsia="宋体"/>
        </w:rPr>
      </w:pPr>
      <w:bookmarkStart w:id="92" w:name="_Toc219964406"/>
      <w:bookmarkStart w:id="93" w:name="_Toc221711794"/>
      <w:r>
        <w:rPr>
          <w:rFonts w:hint="eastAsia" w:ascii="宋体" w:hAnsi="宋体" w:eastAsia="宋体"/>
        </w:rPr>
        <w:t>远距离管网输</w:t>
      </w:r>
      <w:r>
        <w:rPr>
          <w:rFonts w:hint="eastAsia" w:ascii="宋体" w:hAnsi="宋体" w:eastAsia="宋体"/>
          <w:lang w:val="en-US" w:eastAsia="zh-CN"/>
        </w:rPr>
        <w:t>水</w:t>
      </w:r>
      <w:r>
        <w:rPr>
          <w:rFonts w:hint="eastAsia" w:ascii="宋体" w:hAnsi="宋体" w:eastAsia="宋体"/>
        </w:rPr>
        <w:t>过程中，宜配备生活饮用水消毒剂投加设备，消毒剂余量不足时应及时补充。</w:t>
      </w:r>
      <w:bookmarkEnd w:id="92"/>
      <w:bookmarkEnd w:id="93"/>
    </w:p>
    <w:p w14:paraId="785A574C">
      <w:pPr>
        <w:pStyle w:val="104"/>
        <w:spacing w:before="240" w:after="240"/>
      </w:pPr>
      <w:bookmarkStart w:id="94" w:name="_Toc221711795"/>
      <w:bookmarkStart w:id="95" w:name="_Toc219964407"/>
      <w:r>
        <w:rPr>
          <w:rFonts w:hint="eastAsia"/>
        </w:rPr>
        <w:t>突发</w:t>
      </w:r>
      <w:r>
        <w:rPr>
          <w:rFonts w:hint="eastAsia"/>
          <w:lang w:val="en-US" w:eastAsia="zh-CN"/>
        </w:rPr>
        <w:t>饮用</w:t>
      </w:r>
      <w:r>
        <w:rPr>
          <w:rFonts w:hint="eastAsia"/>
        </w:rPr>
        <w:t>水污染事件应急处置</w:t>
      </w:r>
      <w:bookmarkEnd w:id="94"/>
      <w:bookmarkEnd w:id="95"/>
    </w:p>
    <w:p w14:paraId="6C800E8F">
      <w:pPr>
        <w:pStyle w:val="105"/>
        <w:spacing w:before="120" w:after="120"/>
        <w:rPr>
          <w:rFonts w:ascii="宋体" w:hAnsi="宋体" w:eastAsia="宋体"/>
        </w:rPr>
      </w:pPr>
      <w:bookmarkStart w:id="96" w:name="_Toc219964408"/>
      <w:bookmarkStart w:id="97" w:name="_Toc221711796"/>
      <w:r>
        <w:rPr>
          <w:rFonts w:hint="eastAsia" w:ascii="宋体" w:hAnsi="宋体" w:eastAsia="宋体"/>
        </w:rPr>
        <w:t>结合取水水源、制水工艺、供水管网和季节变化等因素，制定突发水污染事件应急方案。突发</w:t>
      </w:r>
      <w:r>
        <w:rPr>
          <w:rFonts w:hint="eastAsia" w:ascii="宋体" w:hAnsi="宋体" w:eastAsia="宋体"/>
          <w:lang w:val="en-US" w:eastAsia="zh-CN"/>
        </w:rPr>
        <w:t>饮用</w:t>
      </w:r>
      <w:r>
        <w:rPr>
          <w:rFonts w:hint="eastAsia" w:ascii="宋体" w:hAnsi="宋体" w:eastAsia="宋体"/>
        </w:rPr>
        <w:t>水污染事件应急处置方案的编制参见附录B。</w:t>
      </w:r>
      <w:bookmarkEnd w:id="96"/>
      <w:bookmarkEnd w:id="97"/>
    </w:p>
    <w:p w14:paraId="6DD0A373">
      <w:pPr>
        <w:pStyle w:val="105"/>
        <w:spacing w:before="120" w:after="120"/>
        <w:rPr>
          <w:rFonts w:ascii="宋体" w:hAnsi="宋体" w:eastAsia="宋体"/>
        </w:rPr>
      </w:pPr>
      <w:bookmarkStart w:id="98" w:name="_Toc221711797"/>
      <w:bookmarkStart w:id="99" w:name="_Toc219964409"/>
      <w:r>
        <w:rPr>
          <w:rFonts w:hint="eastAsia" w:ascii="宋体" w:hAnsi="宋体" w:eastAsia="宋体"/>
        </w:rPr>
        <w:t>每年至少开展1次应急演练，做好常态化风险排查、隐患整改和物资储备工作，提升风险防控能力。</w:t>
      </w:r>
      <w:bookmarkEnd w:id="98"/>
      <w:bookmarkEnd w:id="99"/>
    </w:p>
    <w:p w14:paraId="3455D93A">
      <w:pPr>
        <w:pStyle w:val="105"/>
        <w:spacing w:before="120" w:after="120"/>
        <w:rPr>
          <w:rFonts w:ascii="宋体" w:hAnsi="宋体" w:eastAsia="宋体"/>
        </w:rPr>
      </w:pPr>
      <w:bookmarkStart w:id="100" w:name="_Toc221711798"/>
      <w:bookmarkStart w:id="101" w:name="_Toc219964410"/>
      <w:r>
        <w:rPr>
          <w:rFonts w:hint="eastAsia" w:ascii="宋体" w:hAnsi="宋体" w:eastAsia="宋体"/>
        </w:rPr>
        <w:t>发生突发</w:t>
      </w:r>
      <w:r>
        <w:rPr>
          <w:rFonts w:hint="eastAsia" w:ascii="宋体" w:hAnsi="宋体" w:eastAsia="宋体"/>
          <w:lang w:val="en-US" w:eastAsia="zh-CN"/>
        </w:rPr>
        <w:t>饮用</w:t>
      </w:r>
      <w:r>
        <w:rPr>
          <w:rFonts w:hint="eastAsia" w:ascii="宋体" w:hAnsi="宋体" w:eastAsia="宋体"/>
        </w:rPr>
        <w:t>水污染事件时，应查明原因，立即采取应急控制措施，并按照国家有关规定向上级主管部门报告。</w:t>
      </w:r>
      <w:bookmarkEnd w:id="100"/>
      <w:bookmarkEnd w:id="101"/>
    </w:p>
    <w:p w14:paraId="6C303F62">
      <w:pPr>
        <w:pStyle w:val="105"/>
        <w:spacing w:before="120" w:after="120"/>
        <w:rPr>
          <w:rFonts w:ascii="宋体" w:hAnsi="宋体" w:eastAsia="宋体"/>
        </w:rPr>
      </w:pPr>
      <w:bookmarkStart w:id="102" w:name="_Toc221711799"/>
      <w:bookmarkStart w:id="103" w:name="_Toc219964411"/>
      <w:r>
        <w:rPr>
          <w:rFonts w:hint="eastAsia" w:ascii="宋体" w:hAnsi="宋体" w:eastAsia="宋体"/>
        </w:rPr>
        <w:t>开展水质检测与评估工作，出水水质应符合</w:t>
      </w:r>
      <w:r>
        <w:rPr>
          <w:rFonts w:hint="eastAsia" w:ascii="宋体" w:hAnsi="宋体" w:eastAsia="宋体"/>
          <w:color w:val="000000"/>
          <w:szCs w:val="21"/>
        </w:rPr>
        <w:t>WS/T 10038的要</w:t>
      </w:r>
      <w:r>
        <w:rPr>
          <w:rFonts w:ascii="宋体" w:hAnsi="宋体" w:eastAsia="宋体"/>
          <w:color w:val="000000"/>
          <w:szCs w:val="21"/>
        </w:rPr>
        <w:t>求</w:t>
      </w:r>
      <w:r>
        <w:rPr>
          <w:rFonts w:hint="eastAsia" w:ascii="宋体" w:hAnsi="宋体" w:eastAsia="宋体"/>
        </w:rPr>
        <w:t>。</w:t>
      </w:r>
      <w:bookmarkEnd w:id="102"/>
      <w:bookmarkEnd w:id="103"/>
    </w:p>
    <w:p w14:paraId="1EA99C95">
      <w:pPr>
        <w:pStyle w:val="104"/>
        <w:spacing w:before="240" w:after="240"/>
      </w:pPr>
      <w:bookmarkStart w:id="104" w:name="_Toc219964412"/>
      <w:bookmarkStart w:id="105" w:name="_Toc221711800"/>
      <w:r>
        <w:rPr>
          <w:rFonts w:hint="eastAsia"/>
        </w:rPr>
        <w:t>卫生管理</w:t>
      </w:r>
      <w:bookmarkEnd w:id="104"/>
      <w:bookmarkEnd w:id="105"/>
    </w:p>
    <w:p w14:paraId="7A3C55E3">
      <w:pPr>
        <w:pStyle w:val="105"/>
        <w:spacing w:before="120" w:after="120"/>
        <w:rPr>
          <w:rFonts w:ascii="宋体" w:hAnsi="宋体" w:eastAsia="宋体"/>
        </w:rPr>
      </w:pPr>
      <w:bookmarkStart w:id="106" w:name="_Toc221711801"/>
      <w:bookmarkStart w:id="107" w:name="_Toc219964413"/>
      <w:r>
        <w:rPr>
          <w:rFonts w:hint="eastAsia" w:ascii="宋体" w:hAnsi="宋体" w:eastAsia="宋体"/>
        </w:rPr>
        <w:t>建立健全生活饮用水卫生管理规章制度，配备经培训合格的从业人员负责集中式供水的制水、采样、检验、水处理设施清洗消毒及维护等工作。</w:t>
      </w:r>
      <w:bookmarkEnd w:id="106"/>
      <w:bookmarkEnd w:id="107"/>
    </w:p>
    <w:p w14:paraId="45F98982">
      <w:pPr>
        <w:pStyle w:val="105"/>
        <w:spacing w:before="120" w:after="120"/>
        <w:rPr>
          <w:rFonts w:ascii="宋体" w:hAnsi="宋体" w:eastAsia="宋体"/>
        </w:rPr>
      </w:pPr>
      <w:bookmarkStart w:id="108" w:name="_Toc221711802"/>
      <w:bookmarkStart w:id="109" w:name="_Toc219964414"/>
      <w:r>
        <w:rPr>
          <w:rFonts w:hint="eastAsia" w:ascii="宋体" w:hAnsi="宋体" w:eastAsia="宋体"/>
        </w:rPr>
        <w:t>对取水、输水、制水、蓄水和配水等设施加强质量管理，建立放水、清洗、消毒和检修制度，制水设施、设备清洗维护制度，水质消毒、水质检验制度等。</w:t>
      </w:r>
      <w:r>
        <w:rPr>
          <w:rFonts w:ascii="宋体" w:hAnsi="宋体" w:eastAsia="宋体"/>
        </w:rPr>
        <w:t>制定制水过程</w:t>
      </w:r>
      <w:r>
        <w:rPr>
          <w:rFonts w:hint="eastAsia" w:ascii="宋体" w:hAnsi="宋体" w:eastAsia="宋体"/>
        </w:rPr>
        <w:t>操作规程，包括工艺运行技术参数等。</w:t>
      </w:r>
      <w:bookmarkEnd w:id="108"/>
      <w:bookmarkEnd w:id="109"/>
    </w:p>
    <w:p w14:paraId="5F8FADF6">
      <w:pPr>
        <w:pStyle w:val="105"/>
        <w:spacing w:before="120" w:after="120"/>
        <w:rPr>
          <w:rFonts w:ascii="宋体" w:hAnsi="宋体" w:eastAsia="宋体"/>
        </w:rPr>
      </w:pPr>
      <w:bookmarkStart w:id="110" w:name="_Toc219964416"/>
      <w:bookmarkStart w:id="111" w:name="_Toc221711804"/>
      <w:bookmarkStart w:id="112" w:name="_Toc221711803"/>
      <w:bookmarkStart w:id="113" w:name="_Toc219964415"/>
      <w:r>
        <w:rPr>
          <w:rFonts w:hint="eastAsia" w:ascii="宋体" w:hAnsi="宋体" w:eastAsia="宋体"/>
        </w:rPr>
        <w:t>涉及饮用水卫生安全产品使用前按照有关规定进行索证、验收，按品种、批次分类贮存于原料库避免混杂，防止污染。</w:t>
      </w:r>
      <w:bookmarkEnd w:id="110"/>
      <w:r>
        <w:rPr>
          <w:rFonts w:hint="eastAsia" w:ascii="宋体" w:hAnsi="宋体" w:eastAsia="宋体"/>
        </w:rPr>
        <w:t>与化学处理剂、消毒剂接触的管道，应耐腐蚀，布置便于检修和更换。</w:t>
      </w:r>
      <w:bookmarkEnd w:id="111"/>
    </w:p>
    <w:p w14:paraId="6A41BC32">
      <w:pPr>
        <w:pStyle w:val="105"/>
        <w:spacing w:before="120" w:after="120"/>
        <w:rPr>
          <w:rFonts w:ascii="宋体" w:hAnsi="宋体" w:eastAsia="宋体"/>
        </w:rPr>
      </w:pPr>
      <w:bookmarkStart w:id="114" w:name="_Toc221711805"/>
      <w:bookmarkStart w:id="115" w:name="_Toc219964417"/>
      <w:r>
        <w:rPr>
          <w:rFonts w:hint="eastAsia" w:ascii="宋体" w:hAnsi="宋体" w:eastAsia="宋体"/>
        </w:rPr>
        <w:t>应建立管理人员培训机制，定期组织开展技能培训。从业人员应每年进行一次健康检查，健康检查合格后方能上岗，上岗前须进行卫生知识培训，上岗后每年进行一次卫生知识培训。</w:t>
      </w:r>
      <w:bookmarkEnd w:id="114"/>
      <w:bookmarkEnd w:id="115"/>
    </w:p>
    <w:p w14:paraId="5F713A83">
      <w:pPr>
        <w:pStyle w:val="105"/>
        <w:spacing w:before="120" w:after="120"/>
        <w:rPr>
          <w:rFonts w:ascii="宋体" w:hAnsi="宋体" w:eastAsia="宋体"/>
        </w:rPr>
      </w:pPr>
      <w:r>
        <w:rPr>
          <w:rFonts w:hint="eastAsia" w:ascii="宋体" w:hAnsi="宋体" w:eastAsia="宋体"/>
        </w:rPr>
        <w:t>建立卫生管理档案，包括但不限于</w:t>
      </w:r>
      <w:r>
        <w:rPr>
          <w:rFonts w:hint="eastAsia" w:ascii="宋体" w:hAnsi="宋体" w:eastAsia="宋体"/>
          <w:lang w:val="en-US" w:eastAsia="zh-CN"/>
        </w:rPr>
        <w:t>取水口</w:t>
      </w:r>
      <w:r>
        <w:rPr>
          <w:rFonts w:hint="eastAsia" w:ascii="宋体" w:hAnsi="宋体" w:eastAsia="宋体"/>
          <w:lang w:eastAsia="zh-CN"/>
        </w:rPr>
        <w:t>监控记录，</w:t>
      </w:r>
      <w:r>
        <w:rPr>
          <w:rFonts w:hint="eastAsia" w:ascii="宋体" w:hAnsi="宋体" w:eastAsia="宋体"/>
          <w:lang w:val="en-US" w:eastAsia="zh-CN"/>
        </w:rPr>
        <w:t>水源</w:t>
      </w:r>
      <w:r>
        <w:rPr>
          <w:rFonts w:hint="eastAsia" w:ascii="宋体" w:hAnsi="宋体" w:eastAsia="宋体"/>
        </w:rPr>
        <w:t>输水巡查记录，制水运行记录，制水设施清洗消毒维护记录，水质消毒设施运转记录，水质检验、消毒记录，输配水管网平面布置图，涉及饮用水卫生安全产品的卫生许可批件或卫生安全评价报告以及进货凭证等索证资料，水污染事件应急演练资料，从业人员健康管理与培训记录，在线监测仪器和快速检测设备定期校验记录等。</w:t>
      </w:r>
      <w:bookmarkEnd w:id="112"/>
      <w:bookmarkEnd w:id="113"/>
    </w:p>
    <w:p w14:paraId="70E54946">
      <w:pPr>
        <w:pStyle w:val="104"/>
        <w:spacing w:before="240" w:after="240"/>
      </w:pPr>
      <w:bookmarkStart w:id="116" w:name="_Toc221711806"/>
      <w:bookmarkStart w:id="117" w:name="_Toc219964418"/>
      <w:r>
        <w:rPr>
          <w:rFonts w:hint="eastAsia"/>
        </w:rPr>
        <w:t>水质检验</w:t>
      </w:r>
      <w:bookmarkEnd w:id="116"/>
      <w:bookmarkEnd w:id="117"/>
    </w:p>
    <w:p w14:paraId="2EC41579">
      <w:pPr>
        <w:pStyle w:val="105"/>
        <w:spacing w:before="120" w:after="120"/>
        <w:rPr>
          <w:rFonts w:ascii="宋体" w:hAnsi="宋体" w:eastAsia="宋体"/>
        </w:rPr>
      </w:pPr>
      <w:bookmarkStart w:id="118" w:name="_Toc221711807"/>
      <w:bookmarkStart w:id="119" w:name="_Toc219964419"/>
      <w:r>
        <w:rPr>
          <w:rFonts w:hint="eastAsia" w:ascii="宋体" w:hAnsi="宋体" w:eastAsia="宋体"/>
        </w:rPr>
        <w:t>供水单位应建立水质检验室，检验人员和仪器设备应满足日检的要求，小型集中式供水单位至少满足微生物检测要求。</w:t>
      </w:r>
      <w:bookmarkEnd w:id="118"/>
      <w:bookmarkEnd w:id="119"/>
    </w:p>
    <w:p w14:paraId="40E6E14F">
      <w:pPr>
        <w:pStyle w:val="105"/>
        <w:spacing w:before="120" w:after="120"/>
        <w:rPr>
          <w:rFonts w:ascii="宋体" w:hAnsi="宋体" w:eastAsia="宋体"/>
        </w:rPr>
      </w:pPr>
      <w:bookmarkStart w:id="120" w:name="_Toc219964420"/>
      <w:bookmarkStart w:id="121" w:name="_Toc221711808"/>
      <w:r>
        <w:rPr>
          <w:rFonts w:hint="eastAsia" w:ascii="宋体" w:hAnsi="宋体" w:eastAsia="宋体"/>
        </w:rPr>
        <w:t>建立健全水质检验质量保证体系，开展水源水、净化构筑物出水、出厂水和末梢水的水质检验工作。</w:t>
      </w:r>
      <w:bookmarkEnd w:id="120"/>
      <w:bookmarkEnd w:id="121"/>
    </w:p>
    <w:p w14:paraId="094325BF">
      <w:pPr>
        <w:pStyle w:val="105"/>
        <w:spacing w:before="120" w:after="120"/>
        <w:rPr>
          <w:rFonts w:ascii="宋体" w:hAnsi="宋体" w:eastAsia="宋体"/>
        </w:rPr>
      </w:pPr>
      <w:bookmarkStart w:id="122" w:name="_Toc219964421"/>
      <w:bookmarkStart w:id="123" w:name="_Toc221711809"/>
      <w:r>
        <w:rPr>
          <w:rFonts w:hint="eastAsia" w:ascii="宋体" w:hAnsi="宋体" w:eastAsia="宋体"/>
        </w:rPr>
        <w:t>采样点设置</w:t>
      </w:r>
      <w:bookmarkEnd w:id="122"/>
      <w:bookmarkEnd w:id="123"/>
    </w:p>
    <w:p w14:paraId="4639EBF7">
      <w:pPr>
        <w:pStyle w:val="65"/>
        <w:spacing w:before="120" w:after="120"/>
        <w:rPr>
          <w:rFonts w:ascii="宋体" w:hAnsi="宋体" w:eastAsia="宋体"/>
        </w:rPr>
      </w:pPr>
      <w:r>
        <w:rPr>
          <w:rFonts w:hint="eastAsia" w:ascii="宋体" w:hAnsi="宋体" w:eastAsia="宋体"/>
        </w:rPr>
        <w:t>采样点的设置应有代表性，应分别设在水源取水口、集中式供水单位出水口和居民经常用水点。</w:t>
      </w:r>
    </w:p>
    <w:p w14:paraId="1F7FD38A">
      <w:pPr>
        <w:pStyle w:val="65"/>
        <w:spacing w:before="120" w:after="120"/>
        <w:rPr>
          <w:rFonts w:ascii="宋体" w:hAnsi="宋体" w:eastAsia="宋体"/>
        </w:rPr>
      </w:pPr>
      <w:r>
        <w:rPr>
          <w:rFonts w:hint="eastAsia" w:ascii="宋体" w:hAnsi="宋体" w:eastAsia="宋体"/>
        </w:rPr>
        <w:t>末梢水的采样点数，按供水人口每2万人以下设1个点计，供水人口在20万以下、100万以上时，可酌量增减。</w:t>
      </w:r>
    </w:p>
    <w:p w14:paraId="0B96254E">
      <w:pPr>
        <w:pStyle w:val="65"/>
        <w:spacing w:before="120" w:after="120"/>
        <w:rPr>
          <w:rFonts w:ascii="宋体" w:hAnsi="宋体" w:eastAsia="宋体"/>
        </w:rPr>
      </w:pPr>
      <w:r>
        <w:rPr>
          <w:rFonts w:hint="eastAsia" w:ascii="宋体" w:hAnsi="宋体" w:eastAsia="宋体"/>
        </w:rPr>
        <w:t>在全部采样点中，应有一定的点数选在</w:t>
      </w:r>
      <w:r>
        <w:rPr>
          <w:rFonts w:hint="eastAsia" w:ascii="宋体" w:hAnsi="宋体" w:eastAsia="宋体"/>
          <w:lang w:val="en-US" w:eastAsia="zh-CN"/>
        </w:rPr>
        <w:t>污染风险高、</w:t>
      </w:r>
      <w:r>
        <w:rPr>
          <w:rFonts w:hint="eastAsia" w:ascii="宋体" w:hAnsi="宋体" w:eastAsia="宋体"/>
        </w:rPr>
        <w:t>管网系统陈旧部位。</w:t>
      </w:r>
    </w:p>
    <w:p w14:paraId="281239BB">
      <w:pPr>
        <w:pStyle w:val="65"/>
        <w:spacing w:before="120" w:after="120"/>
        <w:rPr>
          <w:rFonts w:ascii="宋体" w:hAnsi="宋体" w:eastAsia="宋体"/>
        </w:rPr>
      </w:pPr>
      <w:r>
        <w:rPr>
          <w:rFonts w:hint="eastAsia" w:ascii="宋体" w:hAnsi="宋体" w:eastAsia="宋体"/>
        </w:rPr>
        <w:t>以地下水为水源的，其水源水采样点应设在汇水区域或井群中，选择有代表性的水源井和全部补压井。</w:t>
      </w:r>
    </w:p>
    <w:p w14:paraId="5EA3BD7B">
      <w:pPr>
        <w:pStyle w:val="105"/>
        <w:spacing w:before="120" w:after="120"/>
        <w:rPr>
          <w:rFonts w:ascii="宋体" w:hAnsi="宋体" w:eastAsia="宋体"/>
        </w:rPr>
      </w:pPr>
      <w:bookmarkStart w:id="124" w:name="_Toc221711810"/>
      <w:bookmarkStart w:id="125" w:name="_Toc219964422"/>
      <w:r>
        <w:rPr>
          <w:rFonts w:hint="eastAsia" w:ascii="宋体" w:hAnsi="宋体" w:eastAsia="宋体"/>
        </w:rPr>
        <w:t>水质检验项目和检验频率</w:t>
      </w:r>
      <w:bookmarkEnd w:id="124"/>
      <w:bookmarkEnd w:id="125"/>
    </w:p>
    <w:p w14:paraId="2FF56EA7">
      <w:pPr>
        <w:pStyle w:val="65"/>
        <w:spacing w:before="120" w:after="120"/>
        <w:rPr>
          <w:rFonts w:ascii="宋体" w:hAnsi="宋体" w:eastAsia="宋体"/>
        </w:rPr>
      </w:pPr>
      <w:r>
        <w:rPr>
          <w:rFonts w:hint="eastAsia" w:ascii="宋体" w:hAnsi="宋体" w:eastAsia="宋体"/>
        </w:rPr>
        <w:t>水质检验指标及检验频率应符合附录C的要求。</w:t>
      </w:r>
    </w:p>
    <w:p w14:paraId="07A5795E">
      <w:pPr>
        <w:pStyle w:val="65"/>
        <w:spacing w:before="120" w:after="120"/>
        <w:rPr>
          <w:rFonts w:ascii="宋体" w:hAnsi="宋体" w:eastAsia="宋体"/>
        </w:rPr>
      </w:pPr>
      <w:r>
        <w:rPr>
          <w:rFonts w:hint="eastAsia" w:ascii="宋体" w:hAnsi="宋体" w:eastAsia="宋体"/>
        </w:rPr>
        <w:t>当新增水源、切换水源、水量变化或其他原因引起管网水质出现异常时，应增加管网水质检测采样点、检测项目和检测频率。</w:t>
      </w:r>
    </w:p>
    <w:p w14:paraId="37E678A7">
      <w:pPr>
        <w:pStyle w:val="105"/>
        <w:spacing w:before="120" w:after="120"/>
        <w:rPr>
          <w:rFonts w:ascii="宋体" w:hAnsi="宋体" w:eastAsia="宋体"/>
        </w:rPr>
      </w:pPr>
      <w:bookmarkStart w:id="126" w:name="_Toc219964423"/>
      <w:bookmarkStart w:id="127" w:name="_Toc221711811"/>
      <w:r>
        <w:rPr>
          <w:rFonts w:hint="eastAsia" w:ascii="宋体" w:hAnsi="宋体" w:eastAsia="宋体"/>
        </w:rPr>
        <w:t>检验方法</w:t>
      </w:r>
      <w:bookmarkEnd w:id="126"/>
      <w:bookmarkEnd w:id="127"/>
    </w:p>
    <w:p w14:paraId="613C12C6">
      <w:pPr>
        <w:pStyle w:val="56"/>
        <w:ind w:firstLine="420"/>
        <w:rPr>
          <w:rFonts w:hAnsi="宋体"/>
        </w:rPr>
      </w:pPr>
      <w:r>
        <w:rPr>
          <w:rFonts w:hint="eastAsia" w:hAnsi="宋体"/>
        </w:rPr>
        <w:t>水样采集、保存和水质检验方法应符合GB/T 5750规定。采用水质在线监测系统或使用快速检验的，应定期校准、维护。</w:t>
      </w:r>
    </w:p>
    <w:p w14:paraId="4D20F39B">
      <w:pPr>
        <w:pStyle w:val="56"/>
        <w:ind w:firstLine="420"/>
        <w:sectPr>
          <w:pgSz w:w="11906" w:h="16838"/>
          <w:pgMar w:top="1928" w:right="1134" w:bottom="1134" w:left="1134" w:header="1418" w:footer="1134" w:gutter="284"/>
          <w:pgNumType w:start="1"/>
          <w:cols w:space="425" w:num="1"/>
          <w:formProt w:val="0"/>
          <w:docGrid w:linePitch="312" w:charSpace="0"/>
        </w:sectPr>
      </w:pPr>
    </w:p>
    <w:bookmarkEnd w:id="26"/>
    <w:p w14:paraId="7DA3B2F4">
      <w:pPr>
        <w:pStyle w:val="198"/>
        <w:rPr>
          <w:vanish w:val="0"/>
        </w:rPr>
      </w:pPr>
      <w:bookmarkStart w:id="128" w:name="BookMark5"/>
    </w:p>
    <w:p w14:paraId="6865E46B">
      <w:pPr>
        <w:pStyle w:val="199"/>
        <w:rPr>
          <w:vanish w:val="0"/>
        </w:rPr>
      </w:pPr>
    </w:p>
    <w:p w14:paraId="6831E4CC">
      <w:pPr>
        <w:pStyle w:val="76"/>
        <w:spacing w:after="120"/>
      </w:pPr>
      <w:r>
        <w:br w:type="textWrapping"/>
      </w:r>
      <w:bookmarkStart w:id="129" w:name="_Toc219964426"/>
      <w:bookmarkStart w:id="130" w:name="_Toc221711812"/>
      <w:r>
        <w:rPr>
          <w:rFonts w:hint="eastAsia"/>
        </w:rPr>
        <w:t>（规范性）</w:t>
      </w:r>
      <w:r>
        <w:br w:type="textWrapping"/>
      </w:r>
      <w:r>
        <w:rPr>
          <w:rFonts w:hint="eastAsia"/>
        </w:rPr>
        <w:t>不同消毒方式的卫生要求</w:t>
      </w:r>
      <w:bookmarkEnd w:id="129"/>
      <w:bookmarkEnd w:id="130"/>
    </w:p>
    <w:p w14:paraId="603C35FA">
      <w:pPr>
        <w:pStyle w:val="78"/>
        <w:spacing w:before="120" w:after="120"/>
        <w:rPr>
          <w:rFonts w:ascii="宋体" w:hAnsi="宋体" w:eastAsia="宋体"/>
        </w:rPr>
      </w:pPr>
      <w:bookmarkStart w:id="131" w:name="_Toc221711813"/>
      <w:bookmarkStart w:id="132" w:name="_Toc219964427"/>
      <w:r>
        <w:rPr>
          <w:rFonts w:hint="eastAsia" w:ascii="宋体" w:hAnsi="宋体" w:eastAsia="宋体"/>
        </w:rPr>
        <w:t>按照消毒剂和消毒设备的使用说明书操作。</w:t>
      </w:r>
      <w:bookmarkEnd w:id="131"/>
      <w:bookmarkEnd w:id="132"/>
    </w:p>
    <w:p w14:paraId="66968AC0">
      <w:pPr>
        <w:pStyle w:val="78"/>
        <w:spacing w:before="120" w:after="120"/>
        <w:rPr>
          <w:rFonts w:ascii="宋体" w:hAnsi="宋体" w:eastAsia="宋体"/>
        </w:rPr>
      </w:pPr>
      <w:bookmarkStart w:id="133" w:name="_Toc219964428"/>
      <w:bookmarkStart w:id="134" w:name="_Toc221711814"/>
      <w:r>
        <w:rPr>
          <w:rFonts w:hint="eastAsia" w:ascii="宋体" w:hAnsi="宋体" w:eastAsia="宋体"/>
        </w:rPr>
        <w:t>消毒剂的投加位置设在清水池入口处。</w:t>
      </w:r>
      <w:bookmarkEnd w:id="133"/>
      <w:bookmarkEnd w:id="134"/>
    </w:p>
    <w:p w14:paraId="3DD09C96">
      <w:pPr>
        <w:pStyle w:val="78"/>
        <w:spacing w:before="120" w:after="120"/>
        <w:rPr>
          <w:rFonts w:ascii="宋体" w:hAnsi="宋体" w:eastAsia="宋体"/>
        </w:rPr>
      </w:pPr>
      <w:bookmarkStart w:id="135" w:name="_Toc219964429"/>
      <w:bookmarkStart w:id="136" w:name="_Toc221711815"/>
      <w:r>
        <w:rPr>
          <w:rFonts w:hint="eastAsia" w:ascii="宋体" w:hAnsi="宋体" w:eastAsia="宋体"/>
        </w:rPr>
        <w:t>配备在线检测消毒剂浓度设备。</w:t>
      </w:r>
      <w:bookmarkEnd w:id="135"/>
      <w:bookmarkEnd w:id="136"/>
    </w:p>
    <w:p w14:paraId="69183F20">
      <w:pPr>
        <w:pStyle w:val="77"/>
        <w:spacing w:before="120" w:after="120"/>
      </w:pPr>
      <w:r>
        <w:rPr>
          <w:rFonts w:hint="eastAsia"/>
        </w:rPr>
        <w:t>不同消毒方式卫生要求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13" w:type="dxa"/>
          <w:bottom w:w="0" w:type="dxa"/>
          <w:right w:w="113" w:type="dxa"/>
        </w:tblCellMar>
      </w:tblPr>
      <w:tblGrid>
        <w:gridCol w:w="1975"/>
        <w:gridCol w:w="2126"/>
        <w:gridCol w:w="1559"/>
        <w:gridCol w:w="3544"/>
      </w:tblGrid>
      <w:tr w14:paraId="03AD43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trHeight w:val="564" w:hRule="atLeast"/>
          <w:tblHeader/>
          <w:jc w:val="center"/>
        </w:trPr>
        <w:tc>
          <w:tcPr>
            <w:tcW w:w="1975" w:type="dxa"/>
            <w:tcBorders>
              <w:top w:val="single" w:color="auto" w:sz="8" w:space="0"/>
              <w:bottom w:val="single" w:color="auto" w:sz="8" w:space="0"/>
            </w:tcBorders>
            <w:shd w:val="clear" w:color="auto" w:fill="auto"/>
            <w:vAlign w:val="center"/>
          </w:tcPr>
          <w:p w14:paraId="7E940310">
            <w:pPr>
              <w:pStyle w:val="178"/>
            </w:pPr>
            <w:r>
              <w:rPr>
                <w:rFonts w:hint="eastAsia"/>
              </w:rPr>
              <w:t>消毒方式</w:t>
            </w:r>
          </w:p>
        </w:tc>
        <w:tc>
          <w:tcPr>
            <w:tcW w:w="2126" w:type="dxa"/>
            <w:tcBorders>
              <w:top w:val="single" w:color="auto" w:sz="8" w:space="0"/>
              <w:bottom w:val="single" w:color="auto" w:sz="8" w:space="0"/>
            </w:tcBorders>
            <w:shd w:val="clear" w:color="auto" w:fill="auto"/>
            <w:vAlign w:val="center"/>
          </w:tcPr>
          <w:p w14:paraId="51FDC8FA">
            <w:pPr>
              <w:pStyle w:val="178"/>
            </w:pPr>
            <w:r>
              <w:rPr>
                <w:rFonts w:hint="eastAsia"/>
              </w:rPr>
              <w:t>与水接触时间（min）</w:t>
            </w:r>
          </w:p>
        </w:tc>
        <w:tc>
          <w:tcPr>
            <w:tcW w:w="1559" w:type="dxa"/>
            <w:tcBorders>
              <w:top w:val="single" w:color="auto" w:sz="8" w:space="0"/>
              <w:bottom w:val="single" w:color="auto" w:sz="8" w:space="0"/>
            </w:tcBorders>
            <w:shd w:val="clear" w:color="auto" w:fill="auto"/>
            <w:vAlign w:val="center"/>
          </w:tcPr>
          <w:p w14:paraId="093672B0">
            <w:pPr>
              <w:pStyle w:val="178"/>
            </w:pPr>
            <w:r>
              <w:rPr>
                <w:rFonts w:hint="eastAsia"/>
              </w:rPr>
              <w:t>消毒剂指标</w:t>
            </w:r>
          </w:p>
        </w:tc>
        <w:tc>
          <w:tcPr>
            <w:tcW w:w="3544" w:type="dxa"/>
            <w:tcBorders>
              <w:top w:val="single" w:color="auto" w:sz="8" w:space="0"/>
              <w:bottom w:val="single" w:color="auto" w:sz="8" w:space="0"/>
            </w:tcBorders>
            <w:shd w:val="clear" w:color="auto" w:fill="auto"/>
            <w:vAlign w:val="center"/>
          </w:tcPr>
          <w:p w14:paraId="05F63011">
            <w:pPr>
              <w:pStyle w:val="178"/>
            </w:pPr>
            <w:r>
              <w:rPr>
                <w:rFonts w:hint="eastAsia"/>
              </w:rPr>
              <w:t>消毒副产物指标</w:t>
            </w:r>
          </w:p>
        </w:tc>
      </w:tr>
      <w:tr w14:paraId="52B2DD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trHeight w:val="828" w:hRule="atLeast"/>
          <w:jc w:val="center"/>
        </w:trPr>
        <w:tc>
          <w:tcPr>
            <w:tcW w:w="1975" w:type="dxa"/>
            <w:tcBorders>
              <w:top w:val="single" w:color="auto" w:sz="8" w:space="0"/>
            </w:tcBorders>
            <w:shd w:val="clear" w:color="auto" w:fill="auto"/>
            <w:vAlign w:val="center"/>
          </w:tcPr>
          <w:p w14:paraId="7D3CB3BC">
            <w:pPr>
              <w:pStyle w:val="178"/>
            </w:pPr>
            <w:r>
              <w:rPr>
                <w:rFonts w:hint="eastAsia"/>
              </w:rPr>
              <w:t>次氯酸钠</w:t>
            </w:r>
          </w:p>
        </w:tc>
        <w:tc>
          <w:tcPr>
            <w:tcW w:w="2126" w:type="dxa"/>
            <w:vMerge w:val="restart"/>
            <w:tcBorders>
              <w:top w:val="single" w:color="auto" w:sz="4" w:space="0"/>
              <w:left w:val="single" w:color="auto" w:sz="4" w:space="0"/>
              <w:bottom w:val="single" w:color="auto" w:sz="4" w:space="0"/>
              <w:right w:val="single" w:color="auto" w:sz="4" w:space="0"/>
            </w:tcBorders>
            <w:vAlign w:val="center"/>
          </w:tcPr>
          <w:p w14:paraId="202C95DD">
            <w:pPr>
              <w:pStyle w:val="56"/>
              <w:ind w:firstLine="0" w:firstLineChars="0"/>
              <w:jc w:val="center"/>
              <w:rPr>
                <w:b/>
                <w:bCs/>
                <w:sz w:val="18"/>
              </w:rPr>
            </w:pPr>
            <w:r>
              <w:rPr>
                <w:rFonts w:hint="eastAsia" w:hAnsi="宋体"/>
                <w:sz w:val="18"/>
              </w:rPr>
              <w:t>≥30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137FEF03">
            <w:pPr>
              <w:pStyle w:val="178"/>
            </w:pPr>
            <w:r>
              <w:rPr>
                <w:rFonts w:hint="eastAsia"/>
              </w:rPr>
              <w:t>游离氯</w:t>
            </w:r>
          </w:p>
        </w:tc>
        <w:tc>
          <w:tcPr>
            <w:tcW w:w="3544" w:type="dxa"/>
            <w:tcBorders>
              <w:top w:val="single" w:color="auto" w:sz="4" w:space="0"/>
              <w:left w:val="single" w:color="auto" w:sz="4" w:space="0"/>
              <w:bottom w:val="single" w:color="auto" w:sz="4" w:space="0"/>
              <w:right w:val="single" w:color="auto" w:sz="4" w:space="0"/>
            </w:tcBorders>
            <w:vAlign w:val="center"/>
          </w:tcPr>
          <w:p w14:paraId="6F203048">
            <w:pPr>
              <w:pStyle w:val="178"/>
            </w:pPr>
            <w:r>
              <w:rPr>
                <w:rFonts w:hint="eastAsia"/>
              </w:rPr>
              <w:t>三氯甲烷、一氯二溴甲烷、二氯一溴甲烷、三溴甲烷、三卤甲烷、二氯乙酸、三氯乙酸、氯酸盐</w:t>
            </w:r>
          </w:p>
        </w:tc>
      </w:tr>
      <w:tr w14:paraId="6440FF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trHeight w:val="707" w:hRule="atLeast"/>
          <w:jc w:val="center"/>
        </w:trPr>
        <w:tc>
          <w:tcPr>
            <w:tcW w:w="1975" w:type="dxa"/>
            <w:shd w:val="clear" w:color="auto" w:fill="auto"/>
            <w:vAlign w:val="center"/>
          </w:tcPr>
          <w:p w14:paraId="3533E66C">
            <w:pPr>
              <w:pStyle w:val="178"/>
            </w:pPr>
            <w:r>
              <w:rPr>
                <w:rFonts w:hint="eastAsia"/>
              </w:rPr>
              <w:t>液氯、</w:t>
            </w:r>
          </w:p>
          <w:p w14:paraId="0CF740D3">
            <w:pPr>
              <w:pStyle w:val="178"/>
            </w:pPr>
            <w:r>
              <w:rPr>
                <w:rFonts w:hint="eastAsia"/>
              </w:rPr>
              <w:t>次氯酸钙</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19E02691">
            <w:pPr>
              <w:pStyle w:val="178"/>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17B88F2C">
            <w:pPr>
              <w:pStyle w:val="178"/>
            </w:pPr>
          </w:p>
        </w:tc>
        <w:tc>
          <w:tcPr>
            <w:tcW w:w="3544" w:type="dxa"/>
            <w:vMerge w:val="restart"/>
            <w:tcBorders>
              <w:top w:val="single" w:color="auto" w:sz="4" w:space="0"/>
              <w:left w:val="single" w:color="auto" w:sz="4" w:space="0"/>
              <w:right w:val="single" w:color="auto" w:sz="4" w:space="0"/>
            </w:tcBorders>
            <w:vAlign w:val="center"/>
          </w:tcPr>
          <w:p w14:paraId="3A728927">
            <w:pPr>
              <w:pStyle w:val="56"/>
              <w:ind w:firstLine="0" w:firstLineChars="0"/>
              <w:rPr>
                <w:sz w:val="18"/>
              </w:rPr>
            </w:pPr>
            <w:r>
              <w:rPr>
                <w:rFonts w:hint="eastAsia"/>
                <w:sz w:val="18"/>
              </w:rPr>
              <w:t>三氯甲烷、一氯二溴甲烷、二氯一溴甲烷、三溴甲烷、三卤甲烷、二氯乙酸、三氯乙酸</w:t>
            </w:r>
          </w:p>
        </w:tc>
      </w:tr>
      <w:tr w14:paraId="56E2C7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trHeight w:val="419" w:hRule="atLeast"/>
          <w:jc w:val="center"/>
        </w:trPr>
        <w:tc>
          <w:tcPr>
            <w:tcW w:w="1975" w:type="dxa"/>
            <w:shd w:val="clear" w:color="auto" w:fill="auto"/>
            <w:vAlign w:val="center"/>
          </w:tcPr>
          <w:p w14:paraId="37003E55">
            <w:pPr>
              <w:pStyle w:val="178"/>
            </w:pPr>
            <w:r>
              <w:rPr>
                <w:rFonts w:hint="eastAsia"/>
              </w:rPr>
              <w:t>氯胺</w:t>
            </w:r>
          </w:p>
        </w:tc>
        <w:tc>
          <w:tcPr>
            <w:tcW w:w="2126" w:type="dxa"/>
            <w:tcBorders>
              <w:top w:val="single" w:color="auto" w:sz="4" w:space="0"/>
              <w:left w:val="single" w:color="auto" w:sz="4" w:space="0"/>
              <w:bottom w:val="single" w:color="auto" w:sz="4" w:space="0"/>
              <w:right w:val="single" w:color="auto" w:sz="4" w:space="0"/>
            </w:tcBorders>
            <w:vAlign w:val="center"/>
          </w:tcPr>
          <w:p w14:paraId="7D914CC7">
            <w:pPr>
              <w:pStyle w:val="56"/>
              <w:ind w:firstLine="0" w:firstLineChars="0"/>
              <w:jc w:val="center"/>
              <w:rPr>
                <w:sz w:val="18"/>
              </w:rPr>
            </w:pPr>
            <w:r>
              <w:rPr>
                <w:rFonts w:hint="eastAsia" w:hAnsi="宋体"/>
                <w:sz w:val="18"/>
              </w:rPr>
              <w:t>≥120</w:t>
            </w:r>
          </w:p>
        </w:tc>
        <w:tc>
          <w:tcPr>
            <w:tcW w:w="1559" w:type="dxa"/>
            <w:tcBorders>
              <w:top w:val="single" w:color="auto" w:sz="4" w:space="0"/>
              <w:left w:val="single" w:color="auto" w:sz="4" w:space="0"/>
              <w:bottom w:val="single" w:color="auto" w:sz="4" w:space="0"/>
              <w:right w:val="single" w:color="auto" w:sz="4" w:space="0"/>
            </w:tcBorders>
            <w:vAlign w:val="center"/>
          </w:tcPr>
          <w:p w14:paraId="211335BE">
            <w:pPr>
              <w:pStyle w:val="178"/>
            </w:pPr>
            <w:r>
              <w:rPr>
                <w:rFonts w:hint="eastAsia"/>
              </w:rPr>
              <w:t>总氯</w:t>
            </w:r>
          </w:p>
        </w:tc>
        <w:tc>
          <w:tcPr>
            <w:tcW w:w="3544" w:type="dxa"/>
            <w:vMerge w:val="continue"/>
            <w:tcBorders>
              <w:left w:val="single" w:color="auto" w:sz="4" w:space="0"/>
              <w:bottom w:val="single" w:color="auto" w:sz="4" w:space="0"/>
              <w:right w:val="single" w:color="auto" w:sz="4" w:space="0"/>
            </w:tcBorders>
            <w:vAlign w:val="center"/>
          </w:tcPr>
          <w:p w14:paraId="6B9FD180">
            <w:pPr>
              <w:pStyle w:val="178"/>
            </w:pPr>
          </w:p>
        </w:tc>
      </w:tr>
      <w:tr w14:paraId="5CCDD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trHeight w:val="412" w:hRule="atLeast"/>
          <w:jc w:val="center"/>
        </w:trPr>
        <w:tc>
          <w:tcPr>
            <w:tcW w:w="1975" w:type="dxa"/>
            <w:shd w:val="clear" w:color="auto" w:fill="auto"/>
            <w:vAlign w:val="center"/>
          </w:tcPr>
          <w:p w14:paraId="61245EFA">
            <w:pPr>
              <w:pStyle w:val="178"/>
            </w:pPr>
            <w:r>
              <w:rPr>
                <w:rFonts w:hint="eastAsia"/>
              </w:rPr>
              <w:t>臭氧</w:t>
            </w:r>
          </w:p>
        </w:tc>
        <w:tc>
          <w:tcPr>
            <w:tcW w:w="2126" w:type="dxa"/>
            <w:tcBorders>
              <w:top w:val="single" w:color="auto" w:sz="4" w:space="0"/>
              <w:left w:val="single" w:color="auto" w:sz="4" w:space="0"/>
              <w:bottom w:val="single" w:color="auto" w:sz="4" w:space="0"/>
              <w:right w:val="single" w:color="auto" w:sz="4" w:space="0"/>
            </w:tcBorders>
            <w:vAlign w:val="center"/>
          </w:tcPr>
          <w:p w14:paraId="67101F34">
            <w:pPr>
              <w:pStyle w:val="56"/>
              <w:ind w:firstLine="0" w:firstLineChars="0"/>
              <w:jc w:val="center"/>
              <w:rPr>
                <w:sz w:val="18"/>
              </w:rPr>
            </w:pPr>
            <w:r>
              <w:rPr>
                <w:rFonts w:hint="eastAsia" w:hAnsi="宋体"/>
                <w:sz w:val="18"/>
              </w:rPr>
              <w:t>≥12</w:t>
            </w:r>
          </w:p>
        </w:tc>
        <w:tc>
          <w:tcPr>
            <w:tcW w:w="1559" w:type="dxa"/>
            <w:tcBorders>
              <w:top w:val="single" w:color="auto" w:sz="4" w:space="0"/>
              <w:left w:val="single" w:color="auto" w:sz="4" w:space="0"/>
              <w:bottom w:val="single" w:color="auto" w:sz="4" w:space="0"/>
              <w:right w:val="single" w:color="auto" w:sz="4" w:space="0"/>
            </w:tcBorders>
            <w:vAlign w:val="center"/>
          </w:tcPr>
          <w:p w14:paraId="5E80BF51">
            <w:pPr>
              <w:pStyle w:val="178"/>
            </w:pPr>
            <w:r>
              <w:rPr>
                <w:rFonts w:hint="eastAsia"/>
              </w:rPr>
              <w:t>臭氧</w:t>
            </w:r>
          </w:p>
        </w:tc>
        <w:tc>
          <w:tcPr>
            <w:tcW w:w="3544" w:type="dxa"/>
            <w:tcBorders>
              <w:top w:val="single" w:color="auto" w:sz="4" w:space="0"/>
              <w:left w:val="single" w:color="auto" w:sz="4" w:space="0"/>
              <w:bottom w:val="single" w:color="auto" w:sz="4" w:space="0"/>
              <w:right w:val="single" w:color="auto" w:sz="4" w:space="0"/>
            </w:tcBorders>
            <w:vAlign w:val="center"/>
          </w:tcPr>
          <w:p w14:paraId="5491753B">
            <w:pPr>
              <w:pStyle w:val="178"/>
            </w:pPr>
            <w:r>
              <w:rPr>
                <w:rFonts w:hint="eastAsia"/>
              </w:rPr>
              <w:t>溴酸盐</w:t>
            </w:r>
          </w:p>
        </w:tc>
      </w:tr>
      <w:tr w14:paraId="12796C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trHeight w:val="404" w:hRule="atLeast"/>
          <w:jc w:val="center"/>
        </w:trPr>
        <w:tc>
          <w:tcPr>
            <w:tcW w:w="1975" w:type="dxa"/>
            <w:shd w:val="clear" w:color="auto" w:fill="auto"/>
            <w:vAlign w:val="center"/>
          </w:tcPr>
          <w:p w14:paraId="18B8FB7E">
            <w:pPr>
              <w:pStyle w:val="178"/>
            </w:pPr>
            <w:r>
              <w:rPr>
                <w:rFonts w:hint="eastAsia"/>
              </w:rPr>
              <w:t>二氧化氯</w:t>
            </w:r>
          </w:p>
        </w:tc>
        <w:tc>
          <w:tcPr>
            <w:tcW w:w="2126" w:type="dxa"/>
            <w:tcBorders>
              <w:top w:val="single" w:color="auto" w:sz="4" w:space="0"/>
              <w:left w:val="single" w:color="auto" w:sz="4" w:space="0"/>
              <w:bottom w:val="single" w:color="auto" w:sz="4" w:space="0"/>
              <w:right w:val="single" w:color="auto" w:sz="4" w:space="0"/>
            </w:tcBorders>
            <w:vAlign w:val="center"/>
          </w:tcPr>
          <w:p w14:paraId="7BB0A87E">
            <w:pPr>
              <w:pStyle w:val="56"/>
              <w:ind w:firstLine="0" w:firstLineChars="0"/>
              <w:jc w:val="center"/>
              <w:rPr>
                <w:sz w:val="18"/>
              </w:rPr>
            </w:pPr>
            <w:r>
              <w:rPr>
                <w:rFonts w:hint="eastAsia" w:hAnsi="宋体"/>
                <w:sz w:val="18"/>
              </w:rPr>
              <w:t>≥30</w:t>
            </w:r>
          </w:p>
        </w:tc>
        <w:tc>
          <w:tcPr>
            <w:tcW w:w="1559" w:type="dxa"/>
            <w:tcBorders>
              <w:top w:val="single" w:color="auto" w:sz="4" w:space="0"/>
              <w:left w:val="single" w:color="auto" w:sz="4" w:space="0"/>
              <w:bottom w:val="single" w:color="auto" w:sz="4" w:space="0"/>
              <w:right w:val="single" w:color="auto" w:sz="4" w:space="0"/>
            </w:tcBorders>
            <w:vAlign w:val="center"/>
          </w:tcPr>
          <w:p w14:paraId="1FA7E910">
            <w:pPr>
              <w:pStyle w:val="178"/>
            </w:pPr>
            <w:r>
              <w:rPr>
                <w:rFonts w:hint="eastAsia"/>
              </w:rPr>
              <w:t>二氧化氯</w:t>
            </w:r>
          </w:p>
        </w:tc>
        <w:tc>
          <w:tcPr>
            <w:tcW w:w="3544" w:type="dxa"/>
            <w:tcBorders>
              <w:top w:val="single" w:color="auto" w:sz="4" w:space="0"/>
              <w:left w:val="single" w:color="auto" w:sz="4" w:space="0"/>
              <w:bottom w:val="single" w:color="auto" w:sz="4" w:space="0"/>
              <w:right w:val="single" w:color="auto" w:sz="4" w:space="0"/>
            </w:tcBorders>
            <w:vAlign w:val="center"/>
          </w:tcPr>
          <w:p w14:paraId="40887331">
            <w:pPr>
              <w:pStyle w:val="178"/>
            </w:pPr>
            <w:r>
              <w:rPr>
                <w:rFonts w:hint="eastAsia"/>
              </w:rPr>
              <w:t>亚氯酸盐</w:t>
            </w:r>
          </w:p>
        </w:tc>
      </w:tr>
      <w:tr w14:paraId="2E47BB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trHeight w:val="708" w:hRule="atLeast"/>
          <w:jc w:val="center"/>
        </w:trPr>
        <w:tc>
          <w:tcPr>
            <w:tcW w:w="1975" w:type="dxa"/>
            <w:shd w:val="clear" w:color="auto" w:fill="auto"/>
            <w:vAlign w:val="center"/>
          </w:tcPr>
          <w:p w14:paraId="0D44B7A7">
            <w:pPr>
              <w:pStyle w:val="178"/>
            </w:pPr>
            <w:r>
              <w:rPr>
                <w:rFonts w:hint="eastAsia"/>
              </w:rPr>
              <w:t>二氧化氯与氯混合消毒剂发生器</w:t>
            </w:r>
          </w:p>
        </w:tc>
        <w:tc>
          <w:tcPr>
            <w:tcW w:w="2126" w:type="dxa"/>
            <w:tcBorders>
              <w:top w:val="single" w:color="auto" w:sz="4" w:space="0"/>
              <w:left w:val="single" w:color="auto" w:sz="4" w:space="0"/>
              <w:bottom w:val="single" w:color="auto" w:sz="4" w:space="0"/>
              <w:right w:val="single" w:color="auto" w:sz="4" w:space="0"/>
            </w:tcBorders>
            <w:vAlign w:val="center"/>
          </w:tcPr>
          <w:p w14:paraId="60679444">
            <w:pPr>
              <w:pStyle w:val="56"/>
              <w:ind w:firstLine="0" w:firstLineChars="0"/>
              <w:jc w:val="center"/>
              <w:rPr>
                <w:sz w:val="18"/>
              </w:rPr>
            </w:pPr>
            <w:r>
              <w:rPr>
                <w:rFonts w:hint="eastAsia" w:hAnsi="宋体"/>
                <w:sz w:val="18"/>
              </w:rPr>
              <w:t>≥30</w:t>
            </w:r>
          </w:p>
        </w:tc>
        <w:tc>
          <w:tcPr>
            <w:tcW w:w="1559" w:type="dxa"/>
            <w:tcBorders>
              <w:top w:val="single" w:color="auto" w:sz="4" w:space="0"/>
              <w:left w:val="single" w:color="auto" w:sz="4" w:space="0"/>
              <w:bottom w:val="single" w:color="auto" w:sz="4" w:space="0"/>
              <w:right w:val="single" w:color="auto" w:sz="4" w:space="0"/>
            </w:tcBorders>
            <w:vAlign w:val="center"/>
          </w:tcPr>
          <w:p w14:paraId="724A9388">
            <w:pPr>
              <w:pStyle w:val="178"/>
            </w:pPr>
            <w:r>
              <w:rPr>
                <w:rFonts w:hint="eastAsia"/>
              </w:rPr>
              <w:t>二氧化氯、游离氯（两项指标至少一项指标符合GB 5749要求）</w:t>
            </w:r>
          </w:p>
        </w:tc>
        <w:tc>
          <w:tcPr>
            <w:tcW w:w="3544" w:type="dxa"/>
            <w:tcBorders>
              <w:top w:val="single" w:color="auto" w:sz="4" w:space="0"/>
              <w:left w:val="single" w:color="auto" w:sz="4" w:space="0"/>
              <w:bottom w:val="single" w:color="auto" w:sz="4" w:space="0"/>
              <w:right w:val="single" w:color="auto" w:sz="4" w:space="0"/>
            </w:tcBorders>
            <w:vAlign w:val="center"/>
          </w:tcPr>
          <w:p w14:paraId="7951E8DD">
            <w:pPr>
              <w:pStyle w:val="178"/>
            </w:pPr>
            <w:r>
              <w:rPr>
                <w:rFonts w:hint="eastAsia"/>
              </w:rPr>
              <w:t>亚氯酸盐、氯酸盐、三氯甲烷、一氯二溴甲烷、二氯一溴甲烷、三溴甲烷、三卤甲烷、二氯乙酸、三氯乙酸</w:t>
            </w:r>
          </w:p>
        </w:tc>
      </w:tr>
      <w:tr w14:paraId="7DF68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trHeight w:val="749" w:hRule="atLeast"/>
          <w:jc w:val="center"/>
        </w:trPr>
        <w:tc>
          <w:tcPr>
            <w:tcW w:w="1975" w:type="dxa"/>
            <w:shd w:val="clear" w:color="auto" w:fill="auto"/>
            <w:vAlign w:val="center"/>
          </w:tcPr>
          <w:p w14:paraId="764DCAD5">
            <w:pPr>
              <w:pStyle w:val="178"/>
            </w:pPr>
            <w:r>
              <w:rPr>
                <w:rFonts w:hint="eastAsia"/>
              </w:rPr>
              <w:t>紫外线</w:t>
            </w:r>
          </w:p>
        </w:tc>
        <w:tc>
          <w:tcPr>
            <w:tcW w:w="7229" w:type="dxa"/>
            <w:gridSpan w:val="3"/>
            <w:tcBorders>
              <w:top w:val="single" w:color="auto" w:sz="4" w:space="0"/>
              <w:left w:val="single" w:color="auto" w:sz="4" w:space="0"/>
              <w:bottom w:val="single" w:color="auto" w:sz="4" w:space="0"/>
            </w:tcBorders>
            <w:vAlign w:val="center"/>
          </w:tcPr>
          <w:p w14:paraId="7DA5961A">
            <w:pPr>
              <w:pStyle w:val="178"/>
              <w:jc w:val="left"/>
            </w:pPr>
            <w:r>
              <w:rPr>
                <w:rFonts w:hint="eastAsia"/>
              </w:rPr>
              <w:t>与能在规定时间内，产生消毒剂指标余量的消毒方式联用，并检测对应的消毒剂及消毒副产物指标。</w:t>
            </w:r>
          </w:p>
        </w:tc>
      </w:tr>
    </w:tbl>
    <w:p w14:paraId="3228C576">
      <w:pPr>
        <w:pStyle w:val="56"/>
        <w:ind w:firstLine="420"/>
      </w:pPr>
    </w:p>
    <w:p w14:paraId="6D58021C">
      <w:pPr>
        <w:pStyle w:val="56"/>
        <w:ind w:firstLine="0" w:firstLineChars="0"/>
        <w:sectPr>
          <w:pgSz w:w="11906" w:h="16838"/>
          <w:pgMar w:top="1928" w:right="1134" w:bottom="1134" w:left="1134" w:header="1418" w:footer="1134" w:gutter="284"/>
          <w:cols w:space="425" w:num="1"/>
          <w:formProt w:val="0"/>
          <w:docGrid w:linePitch="312" w:charSpace="0"/>
        </w:sectPr>
      </w:pPr>
    </w:p>
    <w:p w14:paraId="1909210E">
      <w:pPr>
        <w:pStyle w:val="198"/>
        <w:rPr>
          <w:vanish w:val="0"/>
        </w:rPr>
      </w:pPr>
    </w:p>
    <w:p w14:paraId="5B91DD8D">
      <w:pPr>
        <w:pStyle w:val="199"/>
        <w:rPr>
          <w:vanish w:val="0"/>
        </w:rPr>
      </w:pPr>
    </w:p>
    <w:p w14:paraId="3187AA30">
      <w:pPr>
        <w:pStyle w:val="76"/>
        <w:spacing w:after="120"/>
      </w:pPr>
      <w:r>
        <w:br w:type="textWrapping"/>
      </w:r>
      <w:bookmarkStart w:id="137" w:name="_Toc219964430"/>
      <w:bookmarkStart w:id="138" w:name="_Toc221711816"/>
      <w:r>
        <w:rPr>
          <w:rFonts w:hint="eastAsia"/>
        </w:rPr>
        <w:t>（资料性）</w:t>
      </w:r>
      <w:r>
        <w:br w:type="textWrapping"/>
      </w:r>
      <w:r>
        <w:rPr>
          <w:rFonts w:hint="eastAsia"/>
        </w:rPr>
        <w:t>突发水污染事件应急处置方案</w:t>
      </w:r>
      <w:bookmarkEnd w:id="137"/>
      <w:bookmarkEnd w:id="138"/>
      <w:r>
        <w:rPr>
          <w:rFonts w:hint="eastAsia"/>
        </w:rPr>
        <w:t xml:space="preserve"> </w:t>
      </w:r>
    </w:p>
    <w:p w14:paraId="6310C9AF">
      <w:pPr>
        <w:pStyle w:val="78"/>
        <w:spacing w:before="120" w:after="120"/>
      </w:pPr>
      <w:bookmarkStart w:id="139" w:name="_Toc221711817"/>
      <w:r>
        <w:rPr>
          <w:rFonts w:hint="eastAsia"/>
        </w:rPr>
        <w:t>组织架构</w:t>
      </w:r>
      <w:bookmarkEnd w:id="139"/>
    </w:p>
    <w:p w14:paraId="079E0413">
      <w:pPr>
        <w:pStyle w:val="79"/>
        <w:spacing w:before="120" w:after="120"/>
        <w:rPr>
          <w:rFonts w:ascii="宋体" w:hAnsi="宋体" w:eastAsia="宋体"/>
        </w:rPr>
      </w:pPr>
      <w:r>
        <w:rPr>
          <w:rFonts w:hint="eastAsia" w:ascii="宋体" w:hAnsi="宋体" w:eastAsia="宋体"/>
        </w:rPr>
        <w:t>设有专门应急处置的领导小组，统筹协调应急处置工作，决定应急方案的启动、处置与终止，负责信息发布、事件上报和舆情应对工作，对应急处置工作进行总结和应急方案修订完善。</w:t>
      </w:r>
    </w:p>
    <w:p w14:paraId="1A60FE4D">
      <w:pPr>
        <w:pStyle w:val="79"/>
        <w:spacing w:before="120" w:after="120"/>
        <w:rPr>
          <w:rFonts w:ascii="宋体" w:hAnsi="宋体" w:eastAsia="宋体"/>
        </w:rPr>
      </w:pPr>
      <w:r>
        <w:rPr>
          <w:rFonts w:hint="eastAsia" w:ascii="宋体" w:hAnsi="宋体" w:eastAsia="宋体"/>
        </w:rPr>
        <w:t>应急处置领导小组下设包括但不限于表B.1的组别及其职能，各组别间工作相互密切配合，根据本单位的实际情况，组别及其职能可以细化、合并、调整。定期按照B.4处置流程针对性地组织不同环节水污染事件的演练。</w:t>
      </w:r>
    </w:p>
    <w:p w14:paraId="5CF5F978">
      <w:pPr>
        <w:pStyle w:val="79"/>
        <w:spacing w:before="120" w:after="120"/>
        <w:rPr>
          <w:rFonts w:ascii="宋体" w:hAnsi="宋体" w:eastAsia="宋体"/>
        </w:rPr>
      </w:pPr>
      <w:r>
        <w:rPr>
          <w:rFonts w:hint="eastAsia" w:ascii="宋体" w:hAnsi="宋体" w:eastAsia="宋体"/>
        </w:rPr>
        <w:t>建立应急处置专家咨询库，组成成员包括水处理技术、卫生行业、生态环境、供水设备等专家，为应急处置提供技术指导和决策支持。</w:t>
      </w:r>
    </w:p>
    <w:p w14:paraId="00E30DAC">
      <w:pPr>
        <w:pStyle w:val="78"/>
        <w:spacing w:before="120" w:after="120"/>
      </w:pPr>
      <w:bookmarkStart w:id="140" w:name="_Toc221711818"/>
      <w:bookmarkStart w:id="141" w:name="_Toc219964434"/>
      <w:r>
        <w:rPr>
          <w:rFonts w:hint="eastAsia"/>
        </w:rPr>
        <w:t>处置流程</w:t>
      </w:r>
      <w:bookmarkEnd w:id="140"/>
      <w:bookmarkEnd w:id="141"/>
    </w:p>
    <w:p w14:paraId="547B8A7D">
      <w:pPr>
        <w:pStyle w:val="79"/>
        <w:spacing w:before="120" w:after="120"/>
      </w:pPr>
      <w:r>
        <w:rPr>
          <w:rFonts w:hint="eastAsia"/>
        </w:rPr>
        <w:t>启动</w:t>
      </w:r>
    </w:p>
    <w:p w14:paraId="14D9D17D">
      <w:pPr>
        <w:pStyle w:val="56"/>
        <w:ind w:firstLine="420"/>
      </w:pPr>
      <w:r>
        <w:rPr>
          <w:rFonts w:hint="eastAsia"/>
        </w:rPr>
        <w:t>接到突发水污染事件报告后，立即通知相关人员核实情况，向有关单位汇报，启动应急方案。报告内容为事件发生时间，地点，影响范围（涉及供水人口、覆盖区域），水质异常情况，已采取的应急措施和进展情况，是否有病例，报告人姓名、联系方式和上报时间。</w:t>
      </w:r>
    </w:p>
    <w:p w14:paraId="1F1EF37B">
      <w:pPr>
        <w:pStyle w:val="79"/>
        <w:spacing w:before="120" w:after="120"/>
      </w:pPr>
      <w:r>
        <w:rPr>
          <w:rFonts w:hint="eastAsia"/>
        </w:rPr>
        <w:t>初步判定事件的起因</w:t>
      </w:r>
    </w:p>
    <w:p w14:paraId="6F273172">
      <w:pPr>
        <w:pStyle w:val="56"/>
        <w:ind w:firstLine="420"/>
      </w:pPr>
      <w:r>
        <w:rPr>
          <w:rFonts w:hint="eastAsia"/>
        </w:rPr>
        <w:t>初步判定水污染事件发生的环节：</w:t>
      </w:r>
    </w:p>
    <w:p w14:paraId="0E8464B8">
      <w:pPr>
        <w:pStyle w:val="109"/>
        <w:numPr>
          <w:ilvl w:val="1"/>
          <w:numId w:val="33"/>
        </w:numPr>
      </w:pPr>
      <w:r>
        <w:rPr>
          <w:rFonts w:hint="eastAsia"/>
        </w:rPr>
        <w:t>水源污染，如暴雨、洪涝、干旱及季节变化等。</w:t>
      </w:r>
    </w:p>
    <w:p w14:paraId="03A8D97C">
      <w:pPr>
        <w:pStyle w:val="109"/>
        <w:numPr>
          <w:ilvl w:val="1"/>
          <w:numId w:val="33"/>
        </w:numPr>
      </w:pPr>
      <w:r>
        <w:rPr>
          <w:rFonts w:hint="eastAsia"/>
        </w:rPr>
        <w:t>制水过程，如水泵、滤池、消毒设备等故障或损坏，消毒剂泄漏等。</w:t>
      </w:r>
    </w:p>
    <w:p w14:paraId="7E21EDEA">
      <w:pPr>
        <w:pStyle w:val="109"/>
        <w:numPr>
          <w:ilvl w:val="1"/>
          <w:numId w:val="33"/>
        </w:numPr>
      </w:pPr>
      <w:r>
        <w:rPr>
          <w:rFonts w:hint="eastAsia"/>
        </w:rPr>
        <w:t>供水管网，如管网爆裂，输水管内涂层脱落等。</w:t>
      </w:r>
    </w:p>
    <w:p w14:paraId="145800D0">
      <w:pPr>
        <w:pStyle w:val="79"/>
        <w:spacing w:before="120" w:after="120"/>
      </w:pPr>
      <w:r>
        <w:rPr>
          <w:rFonts w:hint="eastAsia"/>
        </w:rPr>
        <w:t>响应处置</w:t>
      </w:r>
    </w:p>
    <w:p w14:paraId="5BFE55C5">
      <w:pPr>
        <w:pStyle w:val="56"/>
        <w:ind w:firstLine="420"/>
      </w:pPr>
      <w:r>
        <w:rPr>
          <w:rFonts w:hint="eastAsia"/>
        </w:rPr>
        <w:t>根据初步掌握的信息分析污染事件的影响程度，召开应急处置工作会议，全面配合相关部门按照职能分工开展工作。</w:t>
      </w:r>
    </w:p>
    <w:p w14:paraId="1F46C298">
      <w:pPr>
        <w:pStyle w:val="81"/>
        <w:spacing w:before="120" w:after="120"/>
        <w:rPr>
          <w:rFonts w:ascii="宋体" w:hAnsi="宋体" w:eastAsia="宋体"/>
        </w:rPr>
      </w:pPr>
      <w:r>
        <w:rPr>
          <w:rFonts w:hint="eastAsia" w:ascii="宋体" w:hAnsi="宋体" w:eastAsia="宋体"/>
        </w:rPr>
        <w:t>水源水质污染应急处置</w:t>
      </w:r>
      <w:r>
        <w:rPr>
          <w:rFonts w:hint="eastAsia" w:ascii="MS Gothic" w:hAnsi="MS Gothic" w:eastAsia="MS Gothic" w:cs="MS Gothic"/>
        </w:rPr>
        <w:t>​</w:t>
      </w:r>
      <w:r>
        <w:rPr>
          <w:rFonts w:ascii="宋体" w:hAnsi="宋体" w:eastAsia="宋体"/>
        </w:rPr>
        <w:t xml:space="preserve"> </w:t>
      </w:r>
    </w:p>
    <w:p w14:paraId="604B2F21">
      <w:pPr>
        <w:pStyle w:val="109"/>
        <w:numPr>
          <w:ilvl w:val="1"/>
          <w:numId w:val="34"/>
        </w:numPr>
      </w:pPr>
      <w:r>
        <w:rPr>
          <w:rFonts w:hint="eastAsia"/>
        </w:rPr>
        <w:t>立即通知取水口停止取水，关闭污染区域相关阀门，隔离污染管网段，注意保存好水源水取样池，防止水源水流失后无法取样，水质监测组立即赶赴现场采样检测；</w:t>
      </w:r>
    </w:p>
    <w:p w14:paraId="63186032">
      <w:pPr>
        <w:pStyle w:val="109"/>
        <w:numPr>
          <w:ilvl w:val="1"/>
          <w:numId w:val="34"/>
        </w:numPr>
      </w:pPr>
      <w:r>
        <w:rPr>
          <w:rFonts w:hint="eastAsia"/>
        </w:rPr>
        <w:t>根据水质污染类型和程度，调整制水工艺，增加混凝剂、消毒剂投加量，根据需要启用预氧化、深度处理工艺（如投加高锰酸钾、活性炭臭氧等）；对已污染的管网水，组织开展管网冲洗、消毒，直至水质检测符合</w:t>
      </w:r>
      <w:r>
        <w:t>WS/T 10038</w:t>
      </w:r>
      <w:r>
        <w:rPr>
          <w:rFonts w:hint="eastAsia"/>
        </w:rPr>
        <w:t>要求；</w:t>
      </w:r>
    </w:p>
    <w:p w14:paraId="5161175A">
      <w:pPr>
        <w:pStyle w:val="109"/>
        <w:numPr>
          <w:ilvl w:val="1"/>
          <w:numId w:val="34"/>
        </w:numPr>
      </w:pPr>
      <w:r>
        <w:rPr>
          <w:rFonts w:hint="eastAsia"/>
        </w:rPr>
        <w:t>若水源水不能使用，启用备用水源。</w:t>
      </w:r>
    </w:p>
    <w:p w14:paraId="03FC39CF">
      <w:pPr>
        <w:pStyle w:val="81"/>
        <w:spacing w:before="120" w:after="120"/>
        <w:rPr>
          <w:rFonts w:ascii="宋体" w:hAnsi="宋体" w:eastAsia="宋体"/>
        </w:rPr>
      </w:pPr>
      <w:r>
        <w:rPr>
          <w:rFonts w:hint="eastAsia" w:ascii="宋体" w:hAnsi="宋体" w:eastAsia="宋体"/>
        </w:rPr>
        <w:t>制水过程污染应急处置</w:t>
      </w:r>
    </w:p>
    <w:p w14:paraId="5577431C">
      <w:pPr>
        <w:pStyle w:val="109"/>
        <w:numPr>
          <w:ilvl w:val="1"/>
          <w:numId w:val="35"/>
        </w:numPr>
      </w:pPr>
      <w:r>
        <w:rPr>
          <w:rFonts w:hint="eastAsia"/>
        </w:rPr>
        <w:t>立即对制水过程进行排查，如</w:t>
      </w:r>
      <w:r>
        <w:t>为设施</w:t>
      </w:r>
      <w:r>
        <w:rPr>
          <w:rFonts w:hint="eastAsia"/>
        </w:rPr>
        <w:t>故障，需及</w:t>
      </w:r>
      <w:r>
        <w:t>时维</w:t>
      </w:r>
      <w:r>
        <w:rPr>
          <w:rFonts w:hint="eastAsia"/>
        </w:rPr>
        <w:t>修，维修完成后，对设备运行状况进行跟踪监测，短时间无法修复的，启用备用设施设备；如因制水过程中的各种滤</w:t>
      </w:r>
      <w:r>
        <w:t>料及</w:t>
      </w:r>
      <w:r>
        <w:rPr>
          <w:rFonts w:hint="eastAsia"/>
        </w:rPr>
        <w:t>化</w:t>
      </w:r>
      <w:r>
        <w:t>学</w:t>
      </w:r>
      <w:r>
        <w:rPr>
          <w:rFonts w:hint="eastAsia"/>
        </w:rPr>
        <w:t>处理</w:t>
      </w:r>
      <w:r>
        <w:t>剂或消毒</w:t>
      </w:r>
      <w:r>
        <w:rPr>
          <w:rFonts w:hint="eastAsia"/>
        </w:rPr>
        <w:t>剂等涉</w:t>
      </w:r>
      <w:r>
        <w:t>水产品</w:t>
      </w:r>
      <w:r>
        <w:rPr>
          <w:rFonts w:hint="eastAsia"/>
        </w:rPr>
        <w:t>的</w:t>
      </w:r>
      <w:r>
        <w:t>卫生</w:t>
      </w:r>
      <w:r>
        <w:rPr>
          <w:rFonts w:hint="eastAsia"/>
        </w:rPr>
        <w:t>质量不</w:t>
      </w:r>
      <w:r>
        <w:t>符合</w:t>
      </w:r>
      <w:r>
        <w:rPr>
          <w:rFonts w:hint="eastAsia"/>
        </w:rPr>
        <w:t>规定，需</w:t>
      </w:r>
      <w:r>
        <w:t>立刻</w:t>
      </w:r>
      <w:r>
        <w:rPr>
          <w:rFonts w:hint="eastAsia"/>
        </w:rPr>
        <w:t>采取</w:t>
      </w:r>
      <w:r>
        <w:t>更换,</w:t>
      </w:r>
      <w:r>
        <w:rPr>
          <w:rFonts w:hint="eastAsia"/>
        </w:rPr>
        <w:t>清洗等</w:t>
      </w:r>
      <w:r>
        <w:t>措施</w:t>
      </w:r>
      <w:r>
        <w:rPr>
          <w:rFonts w:hint="eastAsia"/>
        </w:rPr>
        <w:t>。</w:t>
      </w:r>
    </w:p>
    <w:p w14:paraId="4174ECD1">
      <w:pPr>
        <w:pStyle w:val="109"/>
        <w:numPr>
          <w:ilvl w:val="1"/>
          <w:numId w:val="35"/>
        </w:numPr>
      </w:pPr>
      <w:r>
        <w:rPr>
          <w:rFonts w:hint="eastAsia"/>
        </w:rPr>
        <w:t>严格监控制水工艺参数和过程水的水质，符合内</w:t>
      </w:r>
      <w:r>
        <w:t>控</w:t>
      </w:r>
      <w:r>
        <w:rPr>
          <w:rFonts w:hint="eastAsia"/>
        </w:rPr>
        <w:t>操作</w:t>
      </w:r>
      <w:r>
        <w:t>规程要求</w:t>
      </w:r>
      <w:r>
        <w:rPr>
          <w:rFonts w:hint="eastAsia"/>
        </w:rPr>
        <w:t>。</w:t>
      </w:r>
    </w:p>
    <w:p w14:paraId="41AEA298">
      <w:pPr>
        <w:pStyle w:val="81"/>
        <w:spacing w:before="120" w:after="120"/>
        <w:rPr>
          <w:rFonts w:ascii="宋体" w:hAnsi="宋体" w:eastAsia="宋体"/>
        </w:rPr>
      </w:pPr>
      <w:r>
        <w:rPr>
          <w:rFonts w:hint="eastAsia" w:ascii="宋体" w:hAnsi="宋体" w:eastAsia="宋体"/>
        </w:rPr>
        <w:t>供水管网污染应急处置</w:t>
      </w:r>
    </w:p>
    <w:p w14:paraId="7BEE82AC">
      <w:pPr>
        <w:pStyle w:val="109"/>
        <w:numPr>
          <w:ilvl w:val="1"/>
          <w:numId w:val="36"/>
        </w:numPr>
      </w:pPr>
      <w:r>
        <w:rPr>
          <w:rFonts w:hint="eastAsia"/>
        </w:rPr>
        <w:t>立即查找原因和管网位置，如因施工不当，造成输水管内壁涂料脱落等情形，立即采取更换管网等措施；如为水压</w:t>
      </w:r>
      <w:r>
        <w:t>或</w:t>
      </w:r>
      <w:r>
        <w:rPr>
          <w:rFonts w:hint="eastAsia"/>
        </w:rPr>
        <w:t>管网爆裂，需调度抢修队伍和设备赶赴现场处理。</w:t>
      </w:r>
    </w:p>
    <w:p w14:paraId="3BFE82C2">
      <w:pPr>
        <w:pStyle w:val="109"/>
        <w:numPr>
          <w:ilvl w:val="1"/>
          <w:numId w:val="36"/>
        </w:numPr>
      </w:pPr>
      <w:r>
        <w:rPr>
          <w:rFonts w:hint="eastAsia"/>
        </w:rPr>
        <w:t>处理完成后，对管网进行冲洗、消毒，经水质监测部门检测评估后，逐步开启阀门恢复供水；</w:t>
      </w:r>
    </w:p>
    <w:p w14:paraId="34EF42A7">
      <w:pPr>
        <w:pStyle w:val="109"/>
        <w:numPr>
          <w:ilvl w:val="1"/>
          <w:numId w:val="36"/>
        </w:numPr>
      </w:pPr>
      <w:r>
        <w:rPr>
          <w:rFonts w:hint="eastAsia"/>
        </w:rPr>
        <w:t>对同类管网开展隐患排查整改。</w:t>
      </w:r>
      <w:r>
        <w:rPr>
          <w:rFonts w:hint="eastAsia" w:ascii="MS Gothic" w:hAnsi="MS Gothic" w:eastAsia="MS Gothic" w:cs="MS Gothic"/>
        </w:rPr>
        <w:t>​</w:t>
      </w:r>
    </w:p>
    <w:p w14:paraId="130386E5">
      <w:pPr>
        <w:pStyle w:val="79"/>
        <w:spacing w:before="120" w:after="120"/>
      </w:pPr>
      <w:r>
        <w:rPr>
          <w:rFonts w:hint="eastAsia"/>
        </w:rPr>
        <w:t>应急工作终止</w:t>
      </w:r>
    </w:p>
    <w:p w14:paraId="0F04A71C">
      <w:pPr>
        <w:pStyle w:val="109"/>
        <w:numPr>
          <w:ilvl w:val="1"/>
          <w:numId w:val="37"/>
        </w:numPr>
      </w:pPr>
      <w:r>
        <w:rPr>
          <w:rFonts w:hint="eastAsia"/>
        </w:rPr>
        <w:t>突发事件得到有效控制，次生、衍生风险消除；</w:t>
      </w:r>
    </w:p>
    <w:p w14:paraId="0B3C3F67">
      <w:pPr>
        <w:pStyle w:val="109"/>
        <w:numPr>
          <w:ilvl w:val="1"/>
          <w:numId w:val="37"/>
        </w:numPr>
      </w:pPr>
      <w:r>
        <w:rPr>
          <w:rFonts w:hint="eastAsia"/>
        </w:rPr>
        <w:t>供水设施恢复正常运行，供水水质、水量稳定达标；</w:t>
      </w:r>
    </w:p>
    <w:p w14:paraId="34BBEA58">
      <w:pPr>
        <w:pStyle w:val="109"/>
        <w:numPr>
          <w:ilvl w:val="1"/>
          <w:numId w:val="37"/>
        </w:numPr>
      </w:pPr>
      <w:r>
        <w:rPr>
          <w:rFonts w:hint="eastAsia"/>
        </w:rPr>
        <w:t>受影响区域供水全面恢复，用户正常用水；</w:t>
      </w:r>
    </w:p>
    <w:p w14:paraId="1D667CD3">
      <w:pPr>
        <w:pStyle w:val="109"/>
        <w:numPr>
          <w:ilvl w:val="1"/>
          <w:numId w:val="37"/>
        </w:numPr>
      </w:pPr>
      <w:r>
        <w:rPr>
          <w:rFonts w:hint="eastAsia"/>
        </w:rPr>
        <w:t>病例（如有）得到妥善处置，善后工作有序开展。</w:t>
      </w:r>
    </w:p>
    <w:p w14:paraId="60B6402E">
      <w:pPr>
        <w:pStyle w:val="79"/>
        <w:spacing w:before="120" w:after="120"/>
      </w:pPr>
      <w:r>
        <w:rPr>
          <w:rFonts w:hint="eastAsia"/>
        </w:rPr>
        <w:t>后续处置</w:t>
      </w:r>
    </w:p>
    <w:p w14:paraId="47C34EAA">
      <w:pPr>
        <w:pStyle w:val="56"/>
        <w:ind w:firstLine="420"/>
      </w:pPr>
      <w:r>
        <w:rPr>
          <w:rFonts w:hint="eastAsia"/>
        </w:rPr>
        <w:t>查明事件发生的原因、经过，形成事件调查报告；同时，总结应急处置工作的经验教训，分析存在的问题，修订与完善应急方案，组织全员学习培训。</w:t>
      </w:r>
    </w:p>
    <w:p w14:paraId="51C6B022">
      <w:pPr>
        <w:pStyle w:val="77"/>
        <w:spacing w:before="120" w:after="120"/>
      </w:pPr>
      <w:r>
        <w:rPr>
          <w:rFonts w:hint="eastAsia"/>
        </w:rPr>
        <w:t>水污染事件处置各组别及其职能</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57" w:type="dxa"/>
          <w:left w:w="57" w:type="dxa"/>
          <w:bottom w:w="57" w:type="dxa"/>
          <w:right w:w="57" w:type="dxa"/>
        </w:tblCellMar>
      </w:tblPr>
      <w:tblGrid>
        <w:gridCol w:w="1550"/>
        <w:gridCol w:w="7784"/>
      </w:tblGrid>
      <w:tr w14:paraId="351B1F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tblHeader/>
          <w:jc w:val="center"/>
        </w:trPr>
        <w:tc>
          <w:tcPr>
            <w:tcW w:w="1550" w:type="dxa"/>
            <w:tcBorders>
              <w:top w:val="single" w:color="auto" w:sz="8" w:space="0"/>
              <w:bottom w:val="single" w:color="auto" w:sz="8" w:space="0"/>
            </w:tcBorders>
            <w:shd w:val="clear" w:color="auto" w:fill="auto"/>
            <w:vAlign w:val="center"/>
          </w:tcPr>
          <w:p w14:paraId="36AF614E">
            <w:pPr>
              <w:pStyle w:val="178"/>
            </w:pPr>
            <w:r>
              <w:rPr>
                <w:rFonts w:hint="eastAsia"/>
              </w:rPr>
              <w:t>组别</w:t>
            </w:r>
          </w:p>
        </w:tc>
        <w:tc>
          <w:tcPr>
            <w:tcW w:w="7784" w:type="dxa"/>
            <w:tcBorders>
              <w:top w:val="single" w:color="auto" w:sz="8" w:space="0"/>
              <w:bottom w:val="single" w:color="auto" w:sz="8" w:space="0"/>
            </w:tcBorders>
            <w:shd w:val="clear" w:color="auto" w:fill="auto"/>
            <w:vAlign w:val="center"/>
          </w:tcPr>
          <w:p w14:paraId="55A5CD50">
            <w:pPr>
              <w:pStyle w:val="178"/>
            </w:pPr>
            <w:r>
              <w:rPr>
                <w:rFonts w:hint="eastAsia"/>
              </w:rPr>
              <w:t>职能</w:t>
            </w:r>
          </w:p>
        </w:tc>
      </w:tr>
      <w:tr w14:paraId="748A64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550" w:type="dxa"/>
            <w:tcBorders>
              <w:top w:val="single" w:color="auto" w:sz="8" w:space="0"/>
            </w:tcBorders>
            <w:shd w:val="clear" w:color="auto" w:fill="auto"/>
            <w:vAlign w:val="center"/>
          </w:tcPr>
          <w:p w14:paraId="48CE1B2F">
            <w:pPr>
              <w:pStyle w:val="178"/>
            </w:pPr>
            <w:r>
              <w:rPr>
                <w:rFonts w:hint="eastAsia"/>
              </w:rPr>
              <w:t>应急指挥处置</w:t>
            </w:r>
          </w:p>
          <w:p w14:paraId="745866EF">
            <w:pPr>
              <w:pStyle w:val="178"/>
            </w:pPr>
            <w:r>
              <w:rPr>
                <w:rFonts w:hint="eastAsia"/>
              </w:rPr>
              <w:t>领导小组</w:t>
            </w:r>
          </w:p>
        </w:tc>
        <w:tc>
          <w:tcPr>
            <w:tcW w:w="7784" w:type="dxa"/>
            <w:tcBorders>
              <w:top w:val="single" w:color="auto" w:sz="8" w:space="0"/>
            </w:tcBorders>
            <w:shd w:val="clear" w:color="auto" w:fill="auto"/>
            <w:vAlign w:val="center"/>
          </w:tcPr>
          <w:p w14:paraId="06666DDF">
            <w:pPr>
              <w:pStyle w:val="178"/>
              <w:jc w:val="left"/>
            </w:pPr>
            <w:r>
              <w:rPr>
                <w:rFonts w:hint="eastAsia"/>
              </w:rPr>
              <w:t>日常应急管理工作，包括组织风险排查和汇总、隐患整改和跟踪、应急演练等；负责信息发布、舆情应对工作；组织召开专家咨询会；决定应急方案的启动、处理与终止。</w:t>
            </w:r>
          </w:p>
        </w:tc>
      </w:tr>
      <w:tr w14:paraId="5CF609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550" w:type="dxa"/>
            <w:shd w:val="clear" w:color="auto" w:fill="auto"/>
            <w:vAlign w:val="center"/>
          </w:tcPr>
          <w:p w14:paraId="12691C2D">
            <w:pPr>
              <w:pStyle w:val="178"/>
            </w:pPr>
            <w:r>
              <w:rPr>
                <w:rFonts w:hint="eastAsia"/>
              </w:rPr>
              <w:t>应急处置办公室</w:t>
            </w:r>
          </w:p>
        </w:tc>
        <w:tc>
          <w:tcPr>
            <w:tcW w:w="7784" w:type="dxa"/>
            <w:shd w:val="clear" w:color="auto" w:fill="auto"/>
            <w:vAlign w:val="center"/>
          </w:tcPr>
          <w:p w14:paraId="276D052E">
            <w:pPr>
              <w:pStyle w:val="178"/>
              <w:jc w:val="left"/>
            </w:pPr>
            <w:r>
              <w:rPr>
                <w:rFonts w:hint="eastAsia"/>
              </w:rPr>
              <w:t>承担应急指挥办公室的具体工作， 收集、整理、分析应急处置工作简报和应急信息的上报；协调政府部门、新闻媒体等相关单位；负责舆情监测；应急处置工作的文档整理和总结报告编制等；组织开展预案修订和应急工作总结。</w:t>
            </w:r>
          </w:p>
        </w:tc>
      </w:tr>
      <w:tr w14:paraId="5F4B4F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550" w:type="dxa"/>
            <w:shd w:val="clear" w:color="auto" w:fill="auto"/>
            <w:vAlign w:val="center"/>
          </w:tcPr>
          <w:p w14:paraId="06D4F5D4">
            <w:pPr>
              <w:pStyle w:val="178"/>
            </w:pPr>
            <w:r>
              <w:rPr>
                <w:rFonts w:hint="eastAsia"/>
              </w:rPr>
              <w:t>生产技术运行</w:t>
            </w:r>
          </w:p>
        </w:tc>
        <w:tc>
          <w:tcPr>
            <w:tcW w:w="7784" w:type="dxa"/>
            <w:shd w:val="clear" w:color="auto" w:fill="auto"/>
            <w:vAlign w:val="center"/>
          </w:tcPr>
          <w:p w14:paraId="2D5FC1DB">
            <w:pPr>
              <w:pStyle w:val="178"/>
              <w:jc w:val="left"/>
            </w:pPr>
            <w:r>
              <w:rPr>
                <w:rFonts w:hint="eastAsia"/>
              </w:rPr>
              <w:t>制水设施、生产工艺的应急保障工作；排查制水设备故障，优化生产工艺参数；提供应急处置技术参考方案；协助水质监测部门开展事件原因分析和技术改进工作。</w:t>
            </w:r>
          </w:p>
        </w:tc>
      </w:tr>
      <w:tr w14:paraId="6CAC63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550" w:type="dxa"/>
            <w:shd w:val="clear" w:color="auto" w:fill="auto"/>
            <w:vAlign w:val="center"/>
          </w:tcPr>
          <w:p w14:paraId="1380B55B">
            <w:pPr>
              <w:pStyle w:val="178"/>
            </w:pPr>
            <w:r>
              <w:rPr>
                <w:rFonts w:hint="eastAsia"/>
              </w:rPr>
              <w:t>管网管理</w:t>
            </w:r>
          </w:p>
        </w:tc>
        <w:tc>
          <w:tcPr>
            <w:tcW w:w="7784" w:type="dxa"/>
            <w:shd w:val="clear" w:color="auto" w:fill="auto"/>
            <w:vAlign w:val="center"/>
          </w:tcPr>
          <w:p w14:paraId="0B427745">
            <w:pPr>
              <w:pStyle w:val="178"/>
              <w:jc w:val="left"/>
            </w:pPr>
            <w:r>
              <w:rPr>
                <w:rFonts w:hint="eastAsia"/>
              </w:rPr>
              <w:t>供水管网的应急抢修和更换工作，包括管网爆裂、断裂的定位、关阀止水、抢修施工和管网冲洗消毒；统计管网受损范围和影响用户数量，及时向上级汇报。</w:t>
            </w:r>
          </w:p>
        </w:tc>
      </w:tr>
      <w:tr w14:paraId="7FAF35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550" w:type="dxa"/>
            <w:shd w:val="clear" w:color="auto" w:fill="auto"/>
            <w:vAlign w:val="center"/>
          </w:tcPr>
          <w:p w14:paraId="05401566">
            <w:pPr>
              <w:pStyle w:val="178"/>
            </w:pPr>
            <w:r>
              <w:rPr>
                <w:rFonts w:hint="eastAsia"/>
              </w:rPr>
              <w:t>水质监测</w:t>
            </w:r>
          </w:p>
        </w:tc>
        <w:tc>
          <w:tcPr>
            <w:tcW w:w="7784" w:type="dxa"/>
            <w:shd w:val="clear" w:color="auto" w:fill="auto"/>
            <w:vAlign w:val="center"/>
          </w:tcPr>
          <w:p w14:paraId="1ABA1ADF">
            <w:pPr>
              <w:pStyle w:val="178"/>
              <w:jc w:val="left"/>
            </w:pPr>
            <w:r>
              <w:rPr>
                <w:rFonts w:hint="eastAsia"/>
              </w:rPr>
              <w:t>水质日常和应急监测工作，包括水源水、出厂水、末梢水的常规指标和特征污染物监测；发生污染事件时，增加监测频次，扩大监测范围，及时出具监测数据，初步判断污染源、分析污染程度和发展趋势，提出水质净化、消毒等应急处置建议；协助开展污染溯源分析；配合上级主管部门开展水质检测与评估工作。</w:t>
            </w:r>
          </w:p>
        </w:tc>
      </w:tr>
      <w:tr w14:paraId="32DEBC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550" w:type="dxa"/>
            <w:shd w:val="clear" w:color="auto" w:fill="auto"/>
            <w:vAlign w:val="center"/>
          </w:tcPr>
          <w:p w14:paraId="503F2456">
            <w:pPr>
              <w:pStyle w:val="178"/>
            </w:pPr>
            <w:r>
              <w:rPr>
                <w:rFonts w:hint="eastAsia"/>
              </w:rPr>
              <w:t>水质预警</w:t>
            </w:r>
          </w:p>
        </w:tc>
        <w:tc>
          <w:tcPr>
            <w:tcW w:w="7784" w:type="dxa"/>
            <w:shd w:val="clear" w:color="auto" w:fill="auto"/>
            <w:vAlign w:val="center"/>
          </w:tcPr>
          <w:p w14:paraId="61692B8B">
            <w:pPr>
              <w:pStyle w:val="178"/>
              <w:jc w:val="left"/>
            </w:pPr>
            <w:r>
              <w:rPr>
                <w:rFonts w:hint="eastAsia"/>
              </w:rPr>
              <w:t>建立健全供水系统监测网络，包括水源水质监测、制水工艺参数监测、管网压力和流量监测等，实现对供水全流程的实时监控或在线监测，及时预警水质风险。</w:t>
            </w:r>
          </w:p>
        </w:tc>
      </w:tr>
      <w:tr w14:paraId="162C95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550" w:type="dxa"/>
            <w:shd w:val="clear" w:color="auto" w:fill="auto"/>
            <w:vAlign w:val="center"/>
          </w:tcPr>
          <w:p w14:paraId="4F48A04C">
            <w:pPr>
              <w:pStyle w:val="178"/>
            </w:pPr>
            <w:r>
              <w:rPr>
                <w:rFonts w:hint="eastAsia"/>
              </w:rPr>
              <w:t>用户服务</w:t>
            </w:r>
          </w:p>
        </w:tc>
        <w:tc>
          <w:tcPr>
            <w:tcW w:w="7784" w:type="dxa"/>
            <w:shd w:val="clear" w:color="auto" w:fill="auto"/>
            <w:vAlign w:val="center"/>
          </w:tcPr>
          <w:p w14:paraId="76E3A132">
            <w:pPr>
              <w:pStyle w:val="178"/>
              <w:jc w:val="left"/>
            </w:pPr>
            <w:r>
              <w:rPr>
                <w:rFonts w:hint="eastAsia"/>
              </w:rPr>
              <w:t>受理咨询、投诉和报修，及时汇总用户反馈信息并上报；通过网站、微信公众号等渠道，发布停水通知、供水恢复进度和用水安全提示，做好应急供水工作。</w:t>
            </w:r>
          </w:p>
        </w:tc>
      </w:tr>
      <w:tr w14:paraId="33A53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550" w:type="dxa"/>
            <w:shd w:val="clear" w:color="auto" w:fill="auto"/>
            <w:vAlign w:val="center"/>
          </w:tcPr>
          <w:p w14:paraId="0D4C8703">
            <w:pPr>
              <w:pStyle w:val="178"/>
            </w:pPr>
            <w:r>
              <w:rPr>
                <w:rFonts w:hint="eastAsia"/>
              </w:rPr>
              <w:t>物资保障</w:t>
            </w:r>
          </w:p>
        </w:tc>
        <w:tc>
          <w:tcPr>
            <w:tcW w:w="7784" w:type="dxa"/>
            <w:shd w:val="clear" w:color="auto" w:fill="auto"/>
            <w:vAlign w:val="center"/>
          </w:tcPr>
          <w:p w14:paraId="7F9A863D">
            <w:pPr>
              <w:pStyle w:val="178"/>
              <w:jc w:val="left"/>
            </w:pPr>
            <w:r>
              <w:rPr>
                <w:rFonts w:hint="eastAsia"/>
              </w:rPr>
              <w:t>应急物资的储备、管理和调配工作，建立应急物资台账，明确应急储备物资种类（化学处理剂、消毒剂、水质检测设备及试剂等 ）、数量、规格和存放地点，定期检查物资储备数量和质量，及时补充更新；保障应急抢险所需设备、水处理材料、消毒剂、防护用品等物资的供应。</w:t>
            </w:r>
          </w:p>
        </w:tc>
      </w:tr>
    </w:tbl>
    <w:p w14:paraId="4FD6C746">
      <w:pPr>
        <w:pStyle w:val="56"/>
        <w:ind w:firstLine="0" w:firstLineChars="0"/>
      </w:pPr>
    </w:p>
    <w:p w14:paraId="1686181A">
      <w:pPr>
        <w:pStyle w:val="56"/>
        <w:ind w:firstLine="0" w:firstLineChars="0"/>
        <w:sectPr>
          <w:pgSz w:w="11906" w:h="16838"/>
          <w:pgMar w:top="1928" w:right="1134" w:bottom="1134" w:left="1134" w:header="1418" w:footer="1134" w:gutter="284"/>
          <w:cols w:space="425" w:num="1"/>
          <w:formProt w:val="0"/>
          <w:docGrid w:linePitch="312" w:charSpace="0"/>
        </w:sectPr>
      </w:pPr>
    </w:p>
    <w:p w14:paraId="7EA53358">
      <w:pPr>
        <w:pStyle w:val="198"/>
        <w:rPr>
          <w:vanish w:val="0"/>
        </w:rPr>
      </w:pPr>
    </w:p>
    <w:p w14:paraId="21E6236E">
      <w:pPr>
        <w:pStyle w:val="199"/>
        <w:rPr>
          <w:vanish w:val="0"/>
        </w:rPr>
      </w:pPr>
    </w:p>
    <w:p w14:paraId="21C155F7">
      <w:pPr>
        <w:pStyle w:val="76"/>
        <w:spacing w:after="120"/>
      </w:pPr>
      <w:r>
        <w:br w:type="textWrapping"/>
      </w:r>
      <w:bookmarkStart w:id="142" w:name="_Toc221711819"/>
      <w:bookmarkStart w:id="143" w:name="_Toc219964435"/>
      <w:r>
        <w:rPr>
          <w:rFonts w:hint="eastAsia"/>
        </w:rPr>
        <w:t>（规范性）</w:t>
      </w:r>
      <w:r>
        <w:br w:type="textWrapping"/>
      </w:r>
      <w:r>
        <w:rPr>
          <w:rFonts w:hint="eastAsia"/>
        </w:rPr>
        <w:t>水质检测项目及检验频率</w:t>
      </w:r>
      <w:bookmarkEnd w:id="142"/>
      <w:bookmarkEnd w:id="143"/>
    </w:p>
    <w:p w14:paraId="5FEC71E0">
      <w:pPr>
        <w:pStyle w:val="56"/>
        <w:ind w:firstLine="420"/>
      </w:pPr>
      <w:r>
        <w:rPr>
          <w:rFonts w:hint="eastAsia"/>
        </w:rPr>
        <w:t>水质测定项目及检验频率按照表C.1执行</w:t>
      </w:r>
    </w:p>
    <w:p w14:paraId="29D2AA1A">
      <w:pPr>
        <w:pStyle w:val="77"/>
        <w:spacing w:before="120" w:after="120"/>
      </w:pPr>
      <w:r>
        <w:rPr>
          <w:rFonts w:hint="eastAsia"/>
        </w:rPr>
        <w:t>水质测定项目及检验频率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57" w:type="dxa"/>
          <w:left w:w="57" w:type="dxa"/>
          <w:bottom w:w="57" w:type="dxa"/>
          <w:right w:w="57" w:type="dxa"/>
        </w:tblCellMar>
      </w:tblPr>
      <w:tblGrid>
        <w:gridCol w:w="1124"/>
        <w:gridCol w:w="993"/>
        <w:gridCol w:w="2693"/>
        <w:gridCol w:w="1134"/>
        <w:gridCol w:w="1134"/>
        <w:gridCol w:w="1134"/>
        <w:gridCol w:w="1122"/>
      </w:tblGrid>
      <w:tr w14:paraId="05B027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tblHeader/>
          <w:jc w:val="center"/>
        </w:trPr>
        <w:tc>
          <w:tcPr>
            <w:tcW w:w="1124" w:type="dxa"/>
            <w:vMerge w:val="restart"/>
            <w:tcBorders>
              <w:top w:val="single" w:color="auto" w:sz="8" w:space="0"/>
            </w:tcBorders>
            <w:shd w:val="clear" w:color="auto" w:fill="auto"/>
            <w:vAlign w:val="center"/>
          </w:tcPr>
          <w:p w14:paraId="5039777C">
            <w:pPr>
              <w:pStyle w:val="178"/>
            </w:pPr>
            <w:r>
              <w:rPr>
                <w:rFonts w:hint="eastAsia"/>
              </w:rPr>
              <w:t>水质类型</w:t>
            </w:r>
          </w:p>
        </w:tc>
        <w:tc>
          <w:tcPr>
            <w:tcW w:w="3686" w:type="dxa"/>
            <w:gridSpan w:val="2"/>
            <w:vMerge w:val="restart"/>
            <w:tcBorders>
              <w:top w:val="single" w:color="auto" w:sz="8" w:space="0"/>
            </w:tcBorders>
            <w:shd w:val="clear" w:color="auto" w:fill="auto"/>
            <w:vAlign w:val="center"/>
          </w:tcPr>
          <w:p w14:paraId="4A736E63">
            <w:pPr>
              <w:pStyle w:val="178"/>
            </w:pPr>
            <w:r>
              <w:rPr>
                <w:rFonts w:hint="eastAsia"/>
              </w:rPr>
              <w:t>测定项目</w:t>
            </w:r>
          </w:p>
        </w:tc>
        <w:tc>
          <w:tcPr>
            <w:tcW w:w="4524" w:type="dxa"/>
            <w:gridSpan w:val="4"/>
            <w:tcBorders>
              <w:top w:val="single" w:color="auto" w:sz="8" w:space="0"/>
              <w:bottom w:val="single" w:color="auto" w:sz="8" w:space="0"/>
            </w:tcBorders>
            <w:shd w:val="clear" w:color="auto" w:fill="auto"/>
            <w:vAlign w:val="center"/>
          </w:tcPr>
          <w:p w14:paraId="4347861D">
            <w:pPr>
              <w:pStyle w:val="178"/>
            </w:pPr>
            <w:r>
              <w:rPr>
                <w:rFonts w:hint="eastAsia"/>
              </w:rPr>
              <w:t>日供水能力（10000m</w:t>
            </w:r>
            <w:r>
              <w:rPr>
                <w:rFonts w:hint="eastAsia"/>
                <w:vertAlign w:val="superscript"/>
              </w:rPr>
              <w:t>3</w:t>
            </w:r>
            <w:r>
              <w:rPr>
                <w:rFonts w:hint="eastAsia"/>
              </w:rPr>
              <w:t>)</w:t>
            </w:r>
            <w:r>
              <w:t xml:space="preserve"> </w:t>
            </w:r>
          </w:p>
        </w:tc>
      </w:tr>
      <w:tr w14:paraId="6005F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continue"/>
            <w:shd w:val="clear" w:color="auto" w:fill="auto"/>
            <w:vAlign w:val="center"/>
          </w:tcPr>
          <w:p w14:paraId="0AEBE114">
            <w:pPr>
              <w:pStyle w:val="178"/>
            </w:pPr>
          </w:p>
        </w:tc>
        <w:tc>
          <w:tcPr>
            <w:tcW w:w="3686" w:type="dxa"/>
            <w:gridSpan w:val="2"/>
            <w:vMerge w:val="continue"/>
            <w:shd w:val="clear" w:color="auto" w:fill="auto"/>
            <w:vAlign w:val="center"/>
          </w:tcPr>
          <w:p w14:paraId="3F30C87F">
            <w:pPr>
              <w:pStyle w:val="178"/>
            </w:pPr>
          </w:p>
        </w:tc>
        <w:tc>
          <w:tcPr>
            <w:tcW w:w="1134" w:type="dxa"/>
            <w:tcBorders>
              <w:top w:val="single" w:color="auto" w:sz="8" w:space="0"/>
              <w:left w:val="single" w:color="auto" w:sz="8" w:space="0"/>
              <w:bottom w:val="single" w:color="auto" w:sz="8" w:space="0"/>
              <w:right w:val="single" w:color="auto" w:sz="4" w:space="0"/>
            </w:tcBorders>
            <w:vAlign w:val="center"/>
          </w:tcPr>
          <w:p w14:paraId="13BC5D29">
            <w:pPr>
              <w:pStyle w:val="178"/>
            </w:pPr>
            <w:r>
              <w:rPr>
                <w:rFonts w:hint="eastAsia"/>
              </w:rPr>
              <w:t>≥50</w:t>
            </w:r>
          </w:p>
        </w:tc>
        <w:tc>
          <w:tcPr>
            <w:tcW w:w="1134" w:type="dxa"/>
            <w:tcBorders>
              <w:top w:val="single" w:color="auto" w:sz="8" w:space="0"/>
              <w:left w:val="single" w:color="auto" w:sz="4" w:space="0"/>
              <w:bottom w:val="single" w:color="auto" w:sz="8" w:space="0"/>
              <w:right w:val="single" w:color="auto" w:sz="4" w:space="0"/>
            </w:tcBorders>
            <w:vAlign w:val="center"/>
          </w:tcPr>
          <w:p w14:paraId="34ED1C5D">
            <w:pPr>
              <w:pStyle w:val="178"/>
            </w:pPr>
            <w:r>
              <w:rPr>
                <w:rFonts w:hint="eastAsia"/>
              </w:rPr>
              <w:t>＜50—≥10</w:t>
            </w:r>
          </w:p>
        </w:tc>
        <w:tc>
          <w:tcPr>
            <w:tcW w:w="1134" w:type="dxa"/>
            <w:tcBorders>
              <w:top w:val="single" w:color="auto" w:sz="8" w:space="0"/>
              <w:left w:val="single" w:color="auto" w:sz="4" w:space="0"/>
              <w:bottom w:val="single" w:color="auto" w:sz="8" w:space="0"/>
              <w:right w:val="single" w:color="auto" w:sz="4" w:space="0"/>
            </w:tcBorders>
            <w:vAlign w:val="center"/>
          </w:tcPr>
          <w:p w14:paraId="065A5D48">
            <w:pPr>
              <w:pStyle w:val="178"/>
            </w:pPr>
            <w:r>
              <w:rPr>
                <w:rFonts w:hint="eastAsia"/>
              </w:rPr>
              <w:t>＜10—≥0</w:t>
            </w:r>
            <w:r>
              <w:t>.</w:t>
            </w:r>
            <w:r>
              <w:rPr>
                <w:rFonts w:hint="eastAsia"/>
              </w:rPr>
              <w:t>1</w:t>
            </w:r>
          </w:p>
        </w:tc>
        <w:tc>
          <w:tcPr>
            <w:tcW w:w="1122" w:type="dxa"/>
            <w:tcBorders>
              <w:top w:val="single" w:color="auto" w:sz="8" w:space="0"/>
              <w:left w:val="single" w:color="auto" w:sz="4" w:space="0"/>
              <w:bottom w:val="single" w:color="auto" w:sz="8" w:space="0"/>
              <w:right w:val="single" w:color="auto" w:sz="8" w:space="0"/>
            </w:tcBorders>
            <w:vAlign w:val="center"/>
          </w:tcPr>
          <w:p w14:paraId="5A19E519">
            <w:pPr>
              <w:pStyle w:val="178"/>
            </w:pPr>
            <w:r>
              <w:rPr>
                <w:rFonts w:hint="eastAsia"/>
              </w:rPr>
              <w:t>＜0</w:t>
            </w:r>
            <w:r>
              <w:t>.</w:t>
            </w:r>
            <w:r>
              <w:rPr>
                <w:rFonts w:hint="eastAsia"/>
              </w:rPr>
              <w:t>1</w:t>
            </w:r>
          </w:p>
        </w:tc>
      </w:tr>
      <w:tr w14:paraId="1E3C9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continue"/>
            <w:shd w:val="clear" w:color="auto" w:fill="auto"/>
            <w:vAlign w:val="center"/>
          </w:tcPr>
          <w:p w14:paraId="624654DB">
            <w:pPr>
              <w:pStyle w:val="178"/>
            </w:pPr>
          </w:p>
        </w:tc>
        <w:tc>
          <w:tcPr>
            <w:tcW w:w="3686" w:type="dxa"/>
            <w:gridSpan w:val="2"/>
            <w:vMerge w:val="continue"/>
            <w:shd w:val="clear" w:color="auto" w:fill="auto"/>
            <w:vAlign w:val="center"/>
          </w:tcPr>
          <w:p w14:paraId="287E3432">
            <w:pPr>
              <w:pStyle w:val="178"/>
            </w:pPr>
          </w:p>
        </w:tc>
        <w:tc>
          <w:tcPr>
            <w:tcW w:w="1134" w:type="dxa"/>
            <w:tcBorders>
              <w:top w:val="single" w:color="auto" w:sz="8" w:space="0"/>
              <w:left w:val="single" w:color="auto" w:sz="8" w:space="0"/>
              <w:bottom w:val="single" w:color="auto" w:sz="8" w:space="0"/>
              <w:right w:val="single" w:color="auto" w:sz="4" w:space="0"/>
            </w:tcBorders>
            <w:vAlign w:val="center"/>
          </w:tcPr>
          <w:p w14:paraId="3F4B99C5">
            <w:pPr>
              <w:pStyle w:val="178"/>
              <w:rPr>
                <w:szCs w:val="18"/>
              </w:rPr>
            </w:pPr>
            <w:r>
              <w:rPr>
                <w:rFonts w:hint="eastAsia" w:hAnsi="宋体"/>
              </w:rPr>
              <w:t>检验频率</w:t>
            </w:r>
          </w:p>
        </w:tc>
        <w:tc>
          <w:tcPr>
            <w:tcW w:w="1134" w:type="dxa"/>
            <w:tcBorders>
              <w:top w:val="single" w:color="auto" w:sz="8" w:space="0"/>
              <w:left w:val="single" w:color="auto" w:sz="4" w:space="0"/>
              <w:bottom w:val="single" w:color="auto" w:sz="8" w:space="0"/>
              <w:right w:val="single" w:color="auto" w:sz="4" w:space="0"/>
            </w:tcBorders>
            <w:vAlign w:val="center"/>
          </w:tcPr>
          <w:p w14:paraId="7698F8D9">
            <w:pPr>
              <w:pStyle w:val="178"/>
            </w:pPr>
            <w:r>
              <w:rPr>
                <w:rFonts w:hint="eastAsia" w:hAnsi="宋体"/>
              </w:rPr>
              <w:t>检验频率</w:t>
            </w:r>
          </w:p>
        </w:tc>
        <w:tc>
          <w:tcPr>
            <w:tcW w:w="1134" w:type="dxa"/>
            <w:tcBorders>
              <w:top w:val="single" w:color="auto" w:sz="8" w:space="0"/>
              <w:left w:val="single" w:color="auto" w:sz="4" w:space="0"/>
              <w:bottom w:val="single" w:color="auto" w:sz="8" w:space="0"/>
              <w:right w:val="single" w:color="auto" w:sz="4" w:space="0"/>
            </w:tcBorders>
            <w:vAlign w:val="center"/>
          </w:tcPr>
          <w:p w14:paraId="16AC3428">
            <w:pPr>
              <w:pStyle w:val="178"/>
            </w:pPr>
            <w:r>
              <w:rPr>
                <w:rFonts w:hint="eastAsia" w:hAnsi="宋体"/>
              </w:rPr>
              <w:t>检验频率</w:t>
            </w:r>
          </w:p>
        </w:tc>
        <w:tc>
          <w:tcPr>
            <w:tcW w:w="1122" w:type="dxa"/>
            <w:tcBorders>
              <w:top w:val="single" w:color="auto" w:sz="8" w:space="0"/>
              <w:left w:val="single" w:color="auto" w:sz="4" w:space="0"/>
              <w:bottom w:val="single" w:color="auto" w:sz="8" w:space="0"/>
              <w:right w:val="single" w:color="auto" w:sz="8" w:space="0"/>
            </w:tcBorders>
            <w:vAlign w:val="center"/>
          </w:tcPr>
          <w:p w14:paraId="64781702">
            <w:pPr>
              <w:pStyle w:val="178"/>
            </w:pPr>
            <w:r>
              <w:rPr>
                <w:rFonts w:hint="eastAsia" w:hAnsi="宋体"/>
              </w:rPr>
              <w:t>检验频率</w:t>
            </w:r>
          </w:p>
        </w:tc>
      </w:tr>
      <w:tr w14:paraId="205334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restart"/>
            <w:shd w:val="clear" w:color="auto" w:fill="auto"/>
            <w:vAlign w:val="center"/>
          </w:tcPr>
          <w:p w14:paraId="1E6541FD">
            <w:pPr>
              <w:pStyle w:val="178"/>
            </w:pPr>
            <w:r>
              <w:rPr>
                <w:rFonts w:hint="eastAsia"/>
              </w:rPr>
              <w:t>水源水</w:t>
            </w:r>
          </w:p>
        </w:tc>
        <w:tc>
          <w:tcPr>
            <w:tcW w:w="3686" w:type="dxa"/>
            <w:gridSpan w:val="2"/>
            <w:tcBorders>
              <w:top w:val="single" w:color="auto" w:sz="8" w:space="0"/>
              <w:left w:val="single" w:color="auto" w:sz="8" w:space="0"/>
              <w:bottom w:val="single" w:color="auto" w:sz="8" w:space="0"/>
              <w:right w:val="single" w:color="auto" w:sz="4" w:space="0"/>
            </w:tcBorders>
            <w:vAlign w:val="center"/>
          </w:tcPr>
          <w:p w14:paraId="717B8A4B">
            <w:pPr>
              <w:pStyle w:val="178"/>
              <w:jc w:val="left"/>
              <w:rPr>
                <w:szCs w:val="18"/>
              </w:rPr>
            </w:pPr>
            <w:r>
              <w:rPr>
                <w:rFonts w:hint="eastAsia" w:hAnsi="宋体"/>
              </w:rPr>
              <w:t>浑浊度、色度、肉眼可见物、臭和味、高锰酸盐指数（以</w:t>
            </w:r>
            <w:r>
              <w:rPr>
                <w:rFonts w:hint="eastAsia"/>
              </w:rPr>
              <w:t>O</w:t>
            </w:r>
            <w:r>
              <w:rPr>
                <w:rFonts w:hint="eastAsia"/>
                <w:vertAlign w:val="subscript"/>
              </w:rPr>
              <w:t>2</w:t>
            </w:r>
            <w:r>
              <w:rPr>
                <w:rFonts w:hint="eastAsia" w:hAnsi="宋体"/>
              </w:rPr>
              <w:t>计）</w:t>
            </w:r>
          </w:p>
        </w:tc>
        <w:tc>
          <w:tcPr>
            <w:tcW w:w="1134" w:type="dxa"/>
            <w:tcBorders>
              <w:top w:val="single" w:color="auto" w:sz="8" w:space="0"/>
              <w:left w:val="single" w:color="auto" w:sz="4" w:space="0"/>
              <w:bottom w:val="single" w:color="auto" w:sz="8" w:space="0"/>
              <w:right w:val="single" w:color="auto" w:sz="4" w:space="0"/>
            </w:tcBorders>
            <w:vAlign w:val="center"/>
          </w:tcPr>
          <w:p w14:paraId="0B12AEFB">
            <w:pPr>
              <w:pStyle w:val="178"/>
            </w:pPr>
            <w:r>
              <w:rPr>
                <w:rFonts w:hint="eastAsia" w:hAnsi="宋体"/>
              </w:rPr>
              <w:t>每日一次</w:t>
            </w:r>
          </w:p>
        </w:tc>
        <w:tc>
          <w:tcPr>
            <w:tcW w:w="1134" w:type="dxa"/>
            <w:tcBorders>
              <w:top w:val="single" w:color="auto" w:sz="8" w:space="0"/>
              <w:left w:val="single" w:color="auto" w:sz="4" w:space="0"/>
              <w:bottom w:val="single" w:color="auto" w:sz="8" w:space="0"/>
              <w:right w:val="single" w:color="auto" w:sz="4" w:space="0"/>
            </w:tcBorders>
            <w:vAlign w:val="center"/>
          </w:tcPr>
          <w:p w14:paraId="6B2FDD32">
            <w:pPr>
              <w:pStyle w:val="178"/>
            </w:pPr>
            <w:r>
              <w:rPr>
                <w:rFonts w:hint="eastAsia" w:hAnsi="宋体"/>
              </w:rPr>
              <w:t>每日一次</w:t>
            </w:r>
          </w:p>
        </w:tc>
        <w:tc>
          <w:tcPr>
            <w:tcW w:w="1134" w:type="dxa"/>
            <w:tcBorders>
              <w:top w:val="single" w:color="auto" w:sz="8" w:space="0"/>
              <w:left w:val="single" w:color="auto" w:sz="4" w:space="0"/>
              <w:bottom w:val="single" w:color="auto" w:sz="8" w:space="0"/>
              <w:right w:val="single" w:color="auto" w:sz="4" w:space="0"/>
            </w:tcBorders>
            <w:vAlign w:val="center"/>
          </w:tcPr>
          <w:p w14:paraId="4E5D1F07">
            <w:pPr>
              <w:pStyle w:val="178"/>
            </w:pPr>
            <w:r>
              <w:rPr>
                <w:rFonts w:hint="eastAsia" w:hAnsi="宋体"/>
              </w:rPr>
              <w:t>每日一次</w:t>
            </w:r>
          </w:p>
        </w:tc>
        <w:tc>
          <w:tcPr>
            <w:tcW w:w="1122" w:type="dxa"/>
            <w:tcBorders>
              <w:top w:val="single" w:color="auto" w:sz="8" w:space="0"/>
              <w:left w:val="single" w:color="auto" w:sz="4" w:space="0"/>
              <w:bottom w:val="single" w:color="auto" w:sz="8" w:space="0"/>
              <w:right w:val="single" w:color="auto" w:sz="8" w:space="0"/>
            </w:tcBorders>
            <w:vAlign w:val="center"/>
          </w:tcPr>
          <w:p w14:paraId="71D2EF82">
            <w:pPr>
              <w:pStyle w:val="178"/>
            </w:pPr>
            <w:r>
              <w:rPr>
                <w:rFonts w:hint="eastAsia" w:hAnsi="宋体"/>
              </w:rPr>
              <w:t>每月一次</w:t>
            </w:r>
          </w:p>
        </w:tc>
      </w:tr>
      <w:tr w14:paraId="6C3530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continue"/>
            <w:shd w:val="clear" w:color="auto" w:fill="auto"/>
            <w:vAlign w:val="center"/>
          </w:tcPr>
          <w:p w14:paraId="042EC88B">
            <w:pPr>
              <w:pStyle w:val="178"/>
            </w:pPr>
          </w:p>
        </w:tc>
        <w:tc>
          <w:tcPr>
            <w:tcW w:w="3686" w:type="dxa"/>
            <w:gridSpan w:val="2"/>
            <w:tcBorders>
              <w:top w:val="single" w:color="auto" w:sz="8" w:space="0"/>
              <w:left w:val="single" w:color="auto" w:sz="8" w:space="0"/>
              <w:bottom w:val="single" w:color="auto" w:sz="8" w:space="0"/>
              <w:right w:val="single" w:color="auto" w:sz="4" w:space="0"/>
            </w:tcBorders>
            <w:vAlign w:val="center"/>
          </w:tcPr>
          <w:p w14:paraId="0FD94640">
            <w:pPr>
              <w:pStyle w:val="178"/>
              <w:jc w:val="left"/>
              <w:rPr>
                <w:rFonts w:hAnsi="宋体"/>
              </w:rPr>
            </w:pPr>
            <w:r>
              <w:rPr>
                <w:rFonts w:hint="eastAsia" w:hAnsi="宋体"/>
              </w:rPr>
              <w:t>菌落总数、总大肠菌群、大肠埃希氏菌</w:t>
            </w:r>
          </w:p>
        </w:tc>
        <w:tc>
          <w:tcPr>
            <w:tcW w:w="1134" w:type="dxa"/>
            <w:tcBorders>
              <w:top w:val="single" w:color="auto" w:sz="8" w:space="0"/>
              <w:left w:val="single" w:color="auto" w:sz="4" w:space="0"/>
              <w:bottom w:val="single" w:color="auto" w:sz="8" w:space="0"/>
              <w:right w:val="single" w:color="auto" w:sz="4" w:space="0"/>
            </w:tcBorders>
            <w:vAlign w:val="center"/>
          </w:tcPr>
          <w:p w14:paraId="11AFDD9E">
            <w:pPr>
              <w:pStyle w:val="178"/>
              <w:rPr>
                <w:rFonts w:hAnsi="宋体"/>
              </w:rPr>
            </w:pPr>
            <w:r>
              <w:rPr>
                <w:rFonts w:hint="eastAsia" w:hAnsi="宋体"/>
              </w:rPr>
              <w:t>每周一次</w:t>
            </w:r>
          </w:p>
        </w:tc>
        <w:tc>
          <w:tcPr>
            <w:tcW w:w="1134" w:type="dxa"/>
            <w:tcBorders>
              <w:top w:val="single" w:color="auto" w:sz="8" w:space="0"/>
              <w:left w:val="single" w:color="auto" w:sz="4" w:space="0"/>
              <w:bottom w:val="single" w:color="auto" w:sz="8" w:space="0"/>
              <w:right w:val="single" w:color="auto" w:sz="4" w:space="0"/>
            </w:tcBorders>
            <w:vAlign w:val="center"/>
          </w:tcPr>
          <w:p w14:paraId="21877929">
            <w:pPr>
              <w:pStyle w:val="178"/>
              <w:rPr>
                <w:rFonts w:hAnsi="宋体"/>
              </w:rPr>
            </w:pPr>
            <w:r>
              <w:rPr>
                <w:rFonts w:hint="eastAsia" w:hAnsi="宋体"/>
              </w:rPr>
              <w:t>每周一次</w:t>
            </w:r>
          </w:p>
        </w:tc>
        <w:tc>
          <w:tcPr>
            <w:tcW w:w="1134" w:type="dxa"/>
            <w:tcBorders>
              <w:top w:val="single" w:color="auto" w:sz="8" w:space="0"/>
              <w:left w:val="single" w:color="auto" w:sz="4" w:space="0"/>
              <w:bottom w:val="single" w:color="auto" w:sz="8" w:space="0"/>
              <w:right w:val="single" w:color="auto" w:sz="4" w:space="0"/>
            </w:tcBorders>
            <w:vAlign w:val="center"/>
          </w:tcPr>
          <w:p w14:paraId="030A339B">
            <w:pPr>
              <w:pStyle w:val="178"/>
              <w:rPr>
                <w:rFonts w:hAnsi="宋体"/>
              </w:rPr>
            </w:pPr>
            <w:r>
              <w:rPr>
                <w:rFonts w:hint="eastAsia" w:hAnsi="宋体"/>
              </w:rPr>
              <w:t>每二周一次</w:t>
            </w:r>
          </w:p>
        </w:tc>
        <w:tc>
          <w:tcPr>
            <w:tcW w:w="1122" w:type="dxa"/>
            <w:tcBorders>
              <w:top w:val="single" w:color="auto" w:sz="8" w:space="0"/>
              <w:left w:val="single" w:color="auto" w:sz="4" w:space="0"/>
              <w:bottom w:val="single" w:color="auto" w:sz="8" w:space="0"/>
              <w:right w:val="single" w:color="auto" w:sz="8" w:space="0"/>
            </w:tcBorders>
            <w:vAlign w:val="center"/>
          </w:tcPr>
          <w:p w14:paraId="08E411DE">
            <w:pPr>
              <w:pStyle w:val="178"/>
              <w:rPr>
                <w:rFonts w:hAnsi="宋体"/>
              </w:rPr>
            </w:pPr>
            <w:r>
              <w:rPr>
                <w:rFonts w:hint="eastAsia" w:hAnsi="宋体"/>
              </w:rPr>
              <w:t>每月一次</w:t>
            </w:r>
          </w:p>
        </w:tc>
      </w:tr>
      <w:tr w14:paraId="7E4FB5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continue"/>
            <w:shd w:val="clear" w:color="auto" w:fill="auto"/>
            <w:vAlign w:val="center"/>
          </w:tcPr>
          <w:p w14:paraId="12621F1B">
            <w:pPr>
              <w:pStyle w:val="178"/>
            </w:pPr>
          </w:p>
        </w:tc>
        <w:tc>
          <w:tcPr>
            <w:tcW w:w="993" w:type="dxa"/>
            <w:tcBorders>
              <w:top w:val="single" w:color="auto" w:sz="8" w:space="0"/>
              <w:left w:val="single" w:color="auto" w:sz="8" w:space="0"/>
              <w:bottom w:val="single" w:color="auto" w:sz="8" w:space="0"/>
              <w:right w:val="single" w:color="auto" w:sz="4" w:space="0"/>
            </w:tcBorders>
            <w:vAlign w:val="center"/>
          </w:tcPr>
          <w:p w14:paraId="28D74FB1">
            <w:pPr>
              <w:pStyle w:val="178"/>
              <w:rPr>
                <w:szCs w:val="18"/>
              </w:rPr>
            </w:pPr>
            <w:r>
              <w:rPr>
                <w:rFonts w:hint="eastAsia" w:hAnsi="宋体"/>
              </w:rPr>
              <w:t>地表水</w:t>
            </w:r>
          </w:p>
        </w:tc>
        <w:tc>
          <w:tcPr>
            <w:tcW w:w="2693" w:type="dxa"/>
            <w:tcBorders>
              <w:top w:val="single" w:color="auto" w:sz="8" w:space="0"/>
              <w:left w:val="single" w:color="auto" w:sz="4" w:space="0"/>
              <w:bottom w:val="single" w:color="auto" w:sz="8" w:space="0"/>
              <w:right w:val="single" w:color="auto" w:sz="8" w:space="0"/>
            </w:tcBorders>
            <w:vAlign w:val="center"/>
          </w:tcPr>
          <w:p w14:paraId="4A12D90F">
            <w:pPr>
              <w:pStyle w:val="178"/>
              <w:jc w:val="left"/>
            </w:pPr>
            <w:r>
              <w:rPr>
                <w:rFonts w:hint="eastAsia" w:hAnsi="宋体"/>
              </w:rPr>
              <w:t>GB 3838基本项目和补充项目、特定项目中可能存在的风险指标</w:t>
            </w:r>
          </w:p>
        </w:tc>
        <w:tc>
          <w:tcPr>
            <w:tcW w:w="1134" w:type="dxa"/>
            <w:vMerge w:val="restart"/>
            <w:tcBorders>
              <w:top w:val="single" w:color="auto" w:sz="8" w:space="0"/>
              <w:left w:val="single" w:color="auto" w:sz="8" w:space="0"/>
              <w:bottom w:val="single" w:color="auto" w:sz="8" w:space="0"/>
              <w:right w:val="single" w:color="auto" w:sz="4" w:space="0"/>
            </w:tcBorders>
            <w:vAlign w:val="center"/>
          </w:tcPr>
          <w:p w14:paraId="67301504">
            <w:pPr>
              <w:pStyle w:val="178"/>
              <w:rPr>
                <w:szCs w:val="18"/>
              </w:rPr>
            </w:pPr>
            <w:r>
              <w:rPr>
                <w:rFonts w:hint="eastAsia" w:hAnsi="宋体"/>
              </w:rPr>
              <w:t>每月一次</w:t>
            </w:r>
          </w:p>
        </w:tc>
        <w:tc>
          <w:tcPr>
            <w:tcW w:w="1134" w:type="dxa"/>
            <w:vMerge w:val="restart"/>
            <w:tcBorders>
              <w:top w:val="single" w:color="auto" w:sz="8" w:space="0"/>
              <w:left w:val="single" w:color="auto" w:sz="4" w:space="0"/>
              <w:bottom w:val="single" w:color="auto" w:sz="8" w:space="0"/>
              <w:right w:val="single" w:color="auto" w:sz="4" w:space="0"/>
            </w:tcBorders>
            <w:vAlign w:val="center"/>
          </w:tcPr>
          <w:p w14:paraId="60D5F85D">
            <w:pPr>
              <w:pStyle w:val="178"/>
            </w:pPr>
            <w:r>
              <w:rPr>
                <w:rFonts w:hint="eastAsia" w:hAnsi="宋体"/>
              </w:rPr>
              <w:t>每月一次</w:t>
            </w:r>
          </w:p>
        </w:tc>
        <w:tc>
          <w:tcPr>
            <w:tcW w:w="1134" w:type="dxa"/>
            <w:vMerge w:val="restart"/>
            <w:tcBorders>
              <w:top w:val="single" w:color="auto" w:sz="8" w:space="0"/>
              <w:left w:val="single" w:color="auto" w:sz="4" w:space="0"/>
              <w:bottom w:val="single" w:color="auto" w:sz="8" w:space="0"/>
              <w:right w:val="single" w:color="auto" w:sz="4" w:space="0"/>
            </w:tcBorders>
            <w:vAlign w:val="center"/>
          </w:tcPr>
          <w:p w14:paraId="0D120682">
            <w:pPr>
              <w:pStyle w:val="178"/>
            </w:pPr>
            <w:r>
              <w:rPr>
                <w:rFonts w:hint="eastAsia" w:hAnsi="宋体"/>
              </w:rPr>
              <w:t>每半年一次</w:t>
            </w:r>
          </w:p>
        </w:tc>
        <w:tc>
          <w:tcPr>
            <w:tcW w:w="1122" w:type="dxa"/>
            <w:vMerge w:val="restart"/>
            <w:tcBorders>
              <w:top w:val="single" w:color="auto" w:sz="8" w:space="0"/>
              <w:left w:val="single" w:color="auto" w:sz="4" w:space="0"/>
              <w:bottom w:val="single" w:color="auto" w:sz="8" w:space="0"/>
              <w:right w:val="single" w:color="auto" w:sz="8" w:space="0"/>
            </w:tcBorders>
            <w:vAlign w:val="center"/>
          </w:tcPr>
          <w:p w14:paraId="76FDA26A">
            <w:pPr>
              <w:pStyle w:val="178"/>
            </w:pPr>
            <w:r>
              <w:rPr>
                <w:rFonts w:hint="eastAsia" w:hAnsi="宋体"/>
              </w:rPr>
              <w:t>每年一次</w:t>
            </w:r>
          </w:p>
        </w:tc>
      </w:tr>
      <w:tr w14:paraId="153361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continue"/>
            <w:shd w:val="clear" w:color="auto" w:fill="auto"/>
            <w:vAlign w:val="center"/>
          </w:tcPr>
          <w:p w14:paraId="297459DA">
            <w:pPr>
              <w:pStyle w:val="178"/>
            </w:pPr>
          </w:p>
        </w:tc>
        <w:tc>
          <w:tcPr>
            <w:tcW w:w="993" w:type="dxa"/>
            <w:tcBorders>
              <w:top w:val="single" w:color="auto" w:sz="8" w:space="0"/>
              <w:left w:val="single" w:color="auto" w:sz="8" w:space="0"/>
              <w:bottom w:val="single" w:color="auto" w:sz="8" w:space="0"/>
              <w:right w:val="single" w:color="auto" w:sz="4" w:space="0"/>
            </w:tcBorders>
            <w:vAlign w:val="center"/>
          </w:tcPr>
          <w:p w14:paraId="03B60F5B">
            <w:pPr>
              <w:pStyle w:val="178"/>
              <w:rPr>
                <w:szCs w:val="18"/>
              </w:rPr>
            </w:pPr>
            <w:r>
              <w:rPr>
                <w:rFonts w:hint="eastAsia" w:hAnsi="宋体"/>
              </w:rPr>
              <w:t>地下水</w:t>
            </w:r>
          </w:p>
        </w:tc>
        <w:tc>
          <w:tcPr>
            <w:tcW w:w="2693" w:type="dxa"/>
            <w:tcBorders>
              <w:top w:val="single" w:color="auto" w:sz="8" w:space="0"/>
              <w:left w:val="single" w:color="auto" w:sz="4" w:space="0"/>
              <w:bottom w:val="single" w:color="auto" w:sz="8" w:space="0"/>
              <w:right w:val="single" w:color="auto" w:sz="8" w:space="0"/>
            </w:tcBorders>
            <w:vAlign w:val="center"/>
          </w:tcPr>
          <w:p w14:paraId="768D434A">
            <w:pPr>
              <w:pStyle w:val="178"/>
              <w:jc w:val="left"/>
            </w:pPr>
            <w:r>
              <w:rPr>
                <w:rFonts w:hint="eastAsia" w:hAnsi="宋体"/>
              </w:rPr>
              <w:t>GB/T 14848常规指标及非常规指标中可能存在风险的指标</w:t>
            </w:r>
          </w:p>
        </w:tc>
        <w:tc>
          <w:tcPr>
            <w:tcW w:w="1134" w:type="dxa"/>
            <w:vMerge w:val="continue"/>
            <w:shd w:val="clear" w:color="auto" w:fill="auto"/>
            <w:vAlign w:val="center"/>
          </w:tcPr>
          <w:p w14:paraId="58EA0E67">
            <w:pPr>
              <w:pStyle w:val="178"/>
            </w:pPr>
          </w:p>
        </w:tc>
        <w:tc>
          <w:tcPr>
            <w:tcW w:w="1134" w:type="dxa"/>
            <w:vMerge w:val="continue"/>
            <w:shd w:val="clear" w:color="auto" w:fill="auto"/>
            <w:vAlign w:val="center"/>
          </w:tcPr>
          <w:p w14:paraId="5D9A8E7A">
            <w:pPr>
              <w:pStyle w:val="178"/>
            </w:pPr>
          </w:p>
        </w:tc>
        <w:tc>
          <w:tcPr>
            <w:tcW w:w="1134" w:type="dxa"/>
            <w:vMerge w:val="continue"/>
            <w:shd w:val="clear" w:color="auto" w:fill="auto"/>
            <w:vAlign w:val="center"/>
          </w:tcPr>
          <w:p w14:paraId="2C43C446">
            <w:pPr>
              <w:pStyle w:val="178"/>
            </w:pPr>
          </w:p>
        </w:tc>
        <w:tc>
          <w:tcPr>
            <w:tcW w:w="1122" w:type="dxa"/>
            <w:vMerge w:val="continue"/>
            <w:shd w:val="clear" w:color="auto" w:fill="auto"/>
            <w:vAlign w:val="center"/>
          </w:tcPr>
          <w:p w14:paraId="2C0C20C0">
            <w:pPr>
              <w:pStyle w:val="178"/>
            </w:pPr>
          </w:p>
        </w:tc>
      </w:tr>
      <w:tr w14:paraId="54821B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restart"/>
            <w:shd w:val="clear" w:color="auto" w:fill="auto"/>
            <w:vAlign w:val="center"/>
          </w:tcPr>
          <w:p w14:paraId="3A9F2C28">
            <w:pPr>
              <w:pStyle w:val="178"/>
            </w:pPr>
            <w:r>
              <w:rPr>
                <w:rFonts w:hint="eastAsia"/>
              </w:rPr>
              <w:t>出厂水</w:t>
            </w:r>
          </w:p>
        </w:tc>
        <w:tc>
          <w:tcPr>
            <w:tcW w:w="3686" w:type="dxa"/>
            <w:gridSpan w:val="2"/>
            <w:tcBorders>
              <w:top w:val="single" w:color="auto" w:sz="8" w:space="0"/>
              <w:left w:val="single" w:color="auto" w:sz="8" w:space="0"/>
              <w:bottom w:val="single" w:color="auto" w:sz="8" w:space="0"/>
              <w:right w:val="single" w:color="auto" w:sz="4" w:space="0"/>
            </w:tcBorders>
            <w:vAlign w:val="center"/>
          </w:tcPr>
          <w:p w14:paraId="53B8D4EC">
            <w:pPr>
              <w:pStyle w:val="178"/>
              <w:jc w:val="left"/>
              <w:rPr>
                <w:szCs w:val="18"/>
              </w:rPr>
            </w:pPr>
            <w:r>
              <w:rPr>
                <w:rFonts w:hint="eastAsia" w:hAnsi="宋体"/>
              </w:rPr>
              <w:t>浑浊度、色度、臭和味、肉眼可见物、高锰酸盐指数（以</w:t>
            </w:r>
            <w:r>
              <w:rPr>
                <w:rFonts w:hint="eastAsia"/>
              </w:rPr>
              <w:t>O</w:t>
            </w:r>
            <w:r>
              <w:rPr>
                <w:rFonts w:hint="eastAsia"/>
                <w:vertAlign w:val="subscript"/>
              </w:rPr>
              <w:t>2</w:t>
            </w:r>
            <w:r>
              <w:rPr>
                <w:rFonts w:hint="eastAsia" w:hAnsi="宋体"/>
              </w:rPr>
              <w:t>计）（以地下水为水源可不检测）、菌落总数、总大肠菌群</w:t>
            </w:r>
            <w:r>
              <w:rPr>
                <w:rFonts w:hAnsi="宋体"/>
                <w:vertAlign w:val="superscript"/>
              </w:rPr>
              <w:t>a</w:t>
            </w:r>
            <w:r>
              <w:rPr>
                <w:rFonts w:hint="eastAsia" w:hAnsi="宋体"/>
              </w:rPr>
              <w:t>、大肠埃希氏菌、消毒剂余量</w:t>
            </w:r>
          </w:p>
        </w:tc>
        <w:tc>
          <w:tcPr>
            <w:tcW w:w="1134" w:type="dxa"/>
            <w:tcBorders>
              <w:top w:val="single" w:color="auto" w:sz="8" w:space="0"/>
              <w:left w:val="single" w:color="auto" w:sz="4" w:space="0"/>
              <w:bottom w:val="single" w:color="auto" w:sz="8" w:space="0"/>
              <w:right w:val="single" w:color="auto" w:sz="4" w:space="0"/>
            </w:tcBorders>
            <w:vAlign w:val="center"/>
          </w:tcPr>
          <w:p w14:paraId="74E4C041">
            <w:pPr>
              <w:pStyle w:val="178"/>
            </w:pPr>
            <w:r>
              <w:rPr>
                <w:rFonts w:hint="eastAsia" w:hAnsi="宋体"/>
              </w:rPr>
              <w:t>每日一次</w:t>
            </w:r>
          </w:p>
        </w:tc>
        <w:tc>
          <w:tcPr>
            <w:tcW w:w="1134" w:type="dxa"/>
            <w:tcBorders>
              <w:top w:val="single" w:color="auto" w:sz="8" w:space="0"/>
              <w:left w:val="single" w:color="auto" w:sz="4" w:space="0"/>
              <w:bottom w:val="single" w:color="auto" w:sz="8" w:space="0"/>
              <w:right w:val="single" w:color="auto" w:sz="4" w:space="0"/>
            </w:tcBorders>
            <w:vAlign w:val="center"/>
          </w:tcPr>
          <w:p w14:paraId="2446D4A2">
            <w:pPr>
              <w:pStyle w:val="178"/>
            </w:pPr>
            <w:r>
              <w:rPr>
                <w:rFonts w:hint="eastAsia" w:hAnsi="宋体"/>
              </w:rPr>
              <w:t>每日一次</w:t>
            </w:r>
          </w:p>
        </w:tc>
        <w:tc>
          <w:tcPr>
            <w:tcW w:w="1134" w:type="dxa"/>
            <w:tcBorders>
              <w:top w:val="single" w:color="auto" w:sz="8" w:space="0"/>
              <w:left w:val="single" w:color="auto" w:sz="4" w:space="0"/>
              <w:bottom w:val="single" w:color="auto" w:sz="8" w:space="0"/>
              <w:right w:val="single" w:color="auto" w:sz="4" w:space="0"/>
            </w:tcBorders>
            <w:vAlign w:val="center"/>
          </w:tcPr>
          <w:p w14:paraId="7FBEBF35">
            <w:pPr>
              <w:pStyle w:val="178"/>
            </w:pPr>
            <w:r>
              <w:rPr>
                <w:rFonts w:hint="eastAsia" w:hAnsi="宋体"/>
              </w:rPr>
              <w:t>每日一次</w:t>
            </w:r>
          </w:p>
        </w:tc>
        <w:tc>
          <w:tcPr>
            <w:tcW w:w="1122" w:type="dxa"/>
            <w:tcBorders>
              <w:top w:val="single" w:color="auto" w:sz="8" w:space="0"/>
              <w:left w:val="single" w:color="auto" w:sz="4" w:space="0"/>
              <w:bottom w:val="single" w:color="auto" w:sz="8" w:space="0"/>
              <w:right w:val="single" w:color="auto" w:sz="8" w:space="0"/>
            </w:tcBorders>
            <w:vAlign w:val="center"/>
          </w:tcPr>
          <w:p w14:paraId="51059916">
            <w:pPr>
              <w:pStyle w:val="178"/>
            </w:pPr>
            <w:r>
              <w:rPr>
                <w:rFonts w:hint="eastAsia" w:hAnsi="宋体"/>
              </w:rPr>
              <w:t>每日一次</w:t>
            </w:r>
          </w:p>
        </w:tc>
      </w:tr>
      <w:tr w14:paraId="217479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continue"/>
            <w:shd w:val="clear" w:color="auto" w:fill="auto"/>
            <w:vAlign w:val="center"/>
          </w:tcPr>
          <w:p w14:paraId="7083FB94">
            <w:pPr>
              <w:pStyle w:val="178"/>
            </w:pPr>
          </w:p>
        </w:tc>
        <w:tc>
          <w:tcPr>
            <w:tcW w:w="3686" w:type="dxa"/>
            <w:gridSpan w:val="2"/>
            <w:tcBorders>
              <w:top w:val="single" w:color="auto" w:sz="8" w:space="0"/>
              <w:left w:val="single" w:color="auto" w:sz="8" w:space="0"/>
              <w:bottom w:val="single" w:color="auto" w:sz="4" w:space="0"/>
              <w:right w:val="single" w:color="auto" w:sz="4" w:space="0"/>
            </w:tcBorders>
            <w:vAlign w:val="center"/>
          </w:tcPr>
          <w:p w14:paraId="06AD25B9">
            <w:pPr>
              <w:pStyle w:val="178"/>
              <w:jc w:val="left"/>
              <w:rPr>
                <w:szCs w:val="18"/>
              </w:rPr>
            </w:pPr>
            <w:r>
              <w:rPr>
                <w:rFonts w:hint="eastAsia" w:hAnsi="宋体"/>
              </w:rPr>
              <w:t>GB 5749—2022《生活饮用水卫生标准》中表1、表2全部常规指标检验项目及表3扩展指标检验项目、附录A中可能含有的有害物质</w:t>
            </w:r>
          </w:p>
        </w:tc>
        <w:tc>
          <w:tcPr>
            <w:tcW w:w="1134" w:type="dxa"/>
            <w:tcBorders>
              <w:top w:val="single" w:color="auto" w:sz="8" w:space="0"/>
              <w:left w:val="single" w:color="auto" w:sz="4" w:space="0"/>
              <w:bottom w:val="single" w:color="auto" w:sz="4" w:space="0"/>
              <w:right w:val="single" w:color="auto" w:sz="4" w:space="0"/>
            </w:tcBorders>
            <w:vAlign w:val="center"/>
          </w:tcPr>
          <w:p w14:paraId="31992338">
            <w:pPr>
              <w:pStyle w:val="178"/>
            </w:pPr>
            <w:r>
              <w:rPr>
                <w:rFonts w:hint="eastAsia" w:hAnsi="宋体"/>
              </w:rPr>
              <w:t>每月一次</w:t>
            </w:r>
          </w:p>
        </w:tc>
        <w:tc>
          <w:tcPr>
            <w:tcW w:w="1134" w:type="dxa"/>
            <w:tcBorders>
              <w:top w:val="single" w:color="auto" w:sz="8" w:space="0"/>
              <w:left w:val="single" w:color="auto" w:sz="4" w:space="0"/>
              <w:bottom w:val="single" w:color="auto" w:sz="4" w:space="0"/>
              <w:right w:val="single" w:color="auto" w:sz="4" w:space="0"/>
            </w:tcBorders>
            <w:vAlign w:val="center"/>
          </w:tcPr>
          <w:p w14:paraId="6F23D392">
            <w:pPr>
              <w:pStyle w:val="178"/>
            </w:pPr>
            <w:r>
              <w:rPr>
                <w:rFonts w:hint="eastAsia" w:hAnsi="宋体"/>
              </w:rPr>
              <w:t>每季度一次</w:t>
            </w:r>
          </w:p>
        </w:tc>
        <w:tc>
          <w:tcPr>
            <w:tcW w:w="1134" w:type="dxa"/>
            <w:tcBorders>
              <w:top w:val="single" w:color="auto" w:sz="8" w:space="0"/>
              <w:left w:val="single" w:color="auto" w:sz="4" w:space="0"/>
              <w:bottom w:val="single" w:color="auto" w:sz="4" w:space="0"/>
              <w:right w:val="single" w:color="auto" w:sz="4" w:space="0"/>
            </w:tcBorders>
            <w:vAlign w:val="center"/>
          </w:tcPr>
          <w:p w14:paraId="12F2FDB7">
            <w:pPr>
              <w:pStyle w:val="178"/>
            </w:pPr>
            <w:r>
              <w:rPr>
                <w:rFonts w:hint="eastAsia" w:hAnsi="宋体"/>
              </w:rPr>
              <w:t>每半年一次</w:t>
            </w:r>
          </w:p>
        </w:tc>
        <w:tc>
          <w:tcPr>
            <w:tcW w:w="1122" w:type="dxa"/>
            <w:tcBorders>
              <w:top w:val="single" w:color="auto" w:sz="8" w:space="0"/>
              <w:left w:val="single" w:color="auto" w:sz="4" w:space="0"/>
              <w:bottom w:val="single" w:color="auto" w:sz="4" w:space="0"/>
              <w:right w:val="single" w:color="auto" w:sz="8" w:space="0"/>
            </w:tcBorders>
            <w:vAlign w:val="center"/>
          </w:tcPr>
          <w:p w14:paraId="7356A73A">
            <w:pPr>
              <w:pStyle w:val="178"/>
            </w:pPr>
            <w:r>
              <w:rPr>
                <w:rFonts w:hint="eastAsia" w:hAnsi="宋体"/>
              </w:rPr>
              <w:t>每年一次</w:t>
            </w:r>
          </w:p>
        </w:tc>
      </w:tr>
      <w:tr w14:paraId="04B2D6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restart"/>
            <w:shd w:val="clear" w:color="auto" w:fill="auto"/>
            <w:vAlign w:val="center"/>
          </w:tcPr>
          <w:p w14:paraId="7E383E13">
            <w:pPr>
              <w:pStyle w:val="178"/>
            </w:pPr>
            <w:r>
              <w:rPr>
                <w:rFonts w:hint="eastAsia"/>
              </w:rPr>
              <w:t>末梢水</w:t>
            </w:r>
          </w:p>
        </w:tc>
        <w:tc>
          <w:tcPr>
            <w:tcW w:w="3686" w:type="dxa"/>
            <w:gridSpan w:val="2"/>
            <w:tcBorders>
              <w:top w:val="single" w:color="auto" w:sz="4" w:space="0"/>
              <w:left w:val="single" w:color="auto" w:sz="8" w:space="0"/>
              <w:bottom w:val="single" w:color="auto" w:sz="4" w:space="0"/>
              <w:right w:val="single" w:color="auto" w:sz="4" w:space="0"/>
            </w:tcBorders>
            <w:vAlign w:val="center"/>
          </w:tcPr>
          <w:p w14:paraId="2AD3CDBF">
            <w:pPr>
              <w:pStyle w:val="178"/>
              <w:jc w:val="left"/>
              <w:rPr>
                <w:szCs w:val="18"/>
              </w:rPr>
            </w:pPr>
            <w:r>
              <w:rPr>
                <w:rFonts w:hint="eastAsia" w:hAnsi="宋体"/>
              </w:rPr>
              <w:t>浑浊度、色度、臭和味、肉眼可见物、高锰酸盐指数（以</w:t>
            </w:r>
            <w:r>
              <w:rPr>
                <w:rFonts w:hint="eastAsia"/>
              </w:rPr>
              <w:t>O</w:t>
            </w:r>
            <w:r>
              <w:rPr>
                <w:rFonts w:hint="eastAsia"/>
                <w:vertAlign w:val="subscript"/>
              </w:rPr>
              <w:t>2</w:t>
            </w:r>
            <w:r>
              <w:rPr>
                <w:rFonts w:hint="eastAsia" w:hAnsi="宋体"/>
              </w:rPr>
              <w:t>计）（以地下水为水源可不检测）、菌落总数、总大肠菌群</w:t>
            </w:r>
            <w:r>
              <w:rPr>
                <w:rFonts w:hAnsi="宋体"/>
                <w:vertAlign w:val="superscript"/>
              </w:rPr>
              <w:t>a</w:t>
            </w:r>
            <w:r>
              <w:rPr>
                <w:rFonts w:hint="eastAsia" w:hAnsi="宋体"/>
              </w:rPr>
              <w:t>、大肠埃希氏菌、消毒剂余量</w:t>
            </w:r>
          </w:p>
        </w:tc>
        <w:tc>
          <w:tcPr>
            <w:tcW w:w="1134" w:type="dxa"/>
            <w:tcBorders>
              <w:top w:val="single" w:color="auto" w:sz="4" w:space="0"/>
              <w:left w:val="single" w:color="auto" w:sz="4" w:space="0"/>
              <w:bottom w:val="single" w:color="auto" w:sz="4" w:space="0"/>
              <w:right w:val="single" w:color="auto" w:sz="4" w:space="0"/>
            </w:tcBorders>
            <w:vAlign w:val="center"/>
          </w:tcPr>
          <w:p w14:paraId="08E3C0B4">
            <w:pPr>
              <w:pStyle w:val="178"/>
            </w:pPr>
            <w:r>
              <w:rPr>
                <w:rFonts w:hint="eastAsia" w:hAnsi="宋体"/>
              </w:rPr>
              <w:t>每月二次</w:t>
            </w:r>
          </w:p>
        </w:tc>
        <w:tc>
          <w:tcPr>
            <w:tcW w:w="1134" w:type="dxa"/>
            <w:tcBorders>
              <w:top w:val="single" w:color="auto" w:sz="4" w:space="0"/>
              <w:left w:val="single" w:color="auto" w:sz="4" w:space="0"/>
              <w:bottom w:val="single" w:color="auto" w:sz="4" w:space="0"/>
              <w:right w:val="single" w:color="auto" w:sz="4" w:space="0"/>
            </w:tcBorders>
            <w:vAlign w:val="center"/>
          </w:tcPr>
          <w:p w14:paraId="672EB61D">
            <w:pPr>
              <w:pStyle w:val="178"/>
            </w:pPr>
            <w:r>
              <w:rPr>
                <w:rFonts w:hint="eastAsia" w:hAnsi="宋体"/>
              </w:rPr>
              <w:t>每月二次</w:t>
            </w:r>
          </w:p>
        </w:tc>
        <w:tc>
          <w:tcPr>
            <w:tcW w:w="1134" w:type="dxa"/>
            <w:tcBorders>
              <w:top w:val="single" w:color="auto" w:sz="4" w:space="0"/>
              <w:left w:val="single" w:color="auto" w:sz="4" w:space="0"/>
              <w:bottom w:val="single" w:color="auto" w:sz="4" w:space="0"/>
              <w:right w:val="single" w:color="auto" w:sz="4" w:space="0"/>
            </w:tcBorders>
            <w:vAlign w:val="center"/>
          </w:tcPr>
          <w:p w14:paraId="10938C27">
            <w:pPr>
              <w:pStyle w:val="178"/>
            </w:pPr>
            <w:r>
              <w:rPr>
                <w:rFonts w:hint="eastAsia" w:hAnsi="宋体"/>
              </w:rPr>
              <w:t>每月二次</w:t>
            </w:r>
          </w:p>
        </w:tc>
        <w:tc>
          <w:tcPr>
            <w:tcW w:w="1122" w:type="dxa"/>
            <w:tcBorders>
              <w:top w:val="single" w:color="auto" w:sz="4" w:space="0"/>
              <w:left w:val="single" w:color="auto" w:sz="4" w:space="0"/>
              <w:bottom w:val="single" w:color="auto" w:sz="4" w:space="0"/>
              <w:right w:val="single" w:color="auto" w:sz="8" w:space="0"/>
            </w:tcBorders>
            <w:vAlign w:val="center"/>
          </w:tcPr>
          <w:p w14:paraId="769B499A">
            <w:pPr>
              <w:pStyle w:val="178"/>
            </w:pPr>
            <w:r>
              <w:rPr>
                <w:rFonts w:hint="eastAsia" w:hAnsi="宋体"/>
              </w:rPr>
              <w:t>每月一次</w:t>
            </w:r>
          </w:p>
        </w:tc>
      </w:tr>
      <w:tr w14:paraId="62908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jc w:val="center"/>
        </w:trPr>
        <w:tc>
          <w:tcPr>
            <w:tcW w:w="1124" w:type="dxa"/>
            <w:vMerge w:val="continue"/>
            <w:shd w:val="clear" w:color="auto" w:fill="auto"/>
            <w:vAlign w:val="center"/>
          </w:tcPr>
          <w:p w14:paraId="6BA41EC3">
            <w:pPr>
              <w:pStyle w:val="178"/>
            </w:pPr>
          </w:p>
        </w:tc>
        <w:tc>
          <w:tcPr>
            <w:tcW w:w="3686" w:type="dxa"/>
            <w:gridSpan w:val="2"/>
            <w:tcBorders>
              <w:top w:val="single" w:color="auto" w:sz="4" w:space="0"/>
              <w:left w:val="single" w:color="auto" w:sz="8" w:space="0"/>
              <w:bottom w:val="single" w:color="auto" w:sz="4" w:space="0"/>
              <w:right w:val="single" w:color="auto" w:sz="4" w:space="0"/>
            </w:tcBorders>
            <w:vAlign w:val="center"/>
          </w:tcPr>
          <w:p w14:paraId="0AFD7450">
            <w:pPr>
              <w:pStyle w:val="178"/>
              <w:jc w:val="left"/>
            </w:pPr>
            <w:r>
              <w:rPr>
                <w:rFonts w:hint="eastAsia" w:hAnsi="宋体"/>
              </w:rPr>
              <w:t>GB 5749—2022《生活饮用水卫生标准》中表1、表2全部常规指标检验项目及表3扩展指标检验项目、附录A中可能含有的有害物质</w:t>
            </w:r>
          </w:p>
        </w:tc>
        <w:tc>
          <w:tcPr>
            <w:tcW w:w="1134" w:type="dxa"/>
            <w:tcBorders>
              <w:top w:val="single" w:color="auto" w:sz="4" w:space="0"/>
              <w:left w:val="single" w:color="auto" w:sz="4" w:space="0"/>
              <w:bottom w:val="single" w:color="auto" w:sz="4" w:space="0"/>
              <w:right w:val="single" w:color="auto" w:sz="4" w:space="0"/>
            </w:tcBorders>
            <w:vAlign w:val="center"/>
          </w:tcPr>
          <w:p w14:paraId="2781AA4E">
            <w:pPr>
              <w:pStyle w:val="178"/>
            </w:pPr>
            <w:r>
              <w:rPr>
                <w:rFonts w:hint="eastAsia" w:hAnsi="宋体"/>
              </w:rPr>
              <w:t>每月一次</w:t>
            </w:r>
          </w:p>
        </w:tc>
        <w:tc>
          <w:tcPr>
            <w:tcW w:w="1134" w:type="dxa"/>
            <w:tcBorders>
              <w:top w:val="single" w:color="auto" w:sz="4" w:space="0"/>
              <w:left w:val="single" w:color="auto" w:sz="4" w:space="0"/>
              <w:bottom w:val="single" w:color="auto" w:sz="4" w:space="0"/>
              <w:right w:val="single" w:color="auto" w:sz="4" w:space="0"/>
            </w:tcBorders>
            <w:vAlign w:val="center"/>
          </w:tcPr>
          <w:p w14:paraId="417D1F65">
            <w:pPr>
              <w:pStyle w:val="178"/>
            </w:pPr>
            <w:r>
              <w:rPr>
                <w:rFonts w:hint="eastAsia" w:hAnsi="宋体"/>
              </w:rPr>
              <w:t>每季度一次</w:t>
            </w:r>
          </w:p>
        </w:tc>
        <w:tc>
          <w:tcPr>
            <w:tcW w:w="1134" w:type="dxa"/>
            <w:tcBorders>
              <w:top w:val="single" w:color="auto" w:sz="4" w:space="0"/>
              <w:left w:val="single" w:color="auto" w:sz="4" w:space="0"/>
              <w:bottom w:val="single" w:color="auto" w:sz="4" w:space="0"/>
              <w:right w:val="single" w:color="auto" w:sz="4" w:space="0"/>
            </w:tcBorders>
            <w:vAlign w:val="center"/>
          </w:tcPr>
          <w:p w14:paraId="3AFE4EFF">
            <w:pPr>
              <w:pStyle w:val="178"/>
            </w:pPr>
            <w:r>
              <w:rPr>
                <w:rFonts w:hint="eastAsia" w:hAnsi="宋体"/>
              </w:rPr>
              <w:t>每半年一次</w:t>
            </w:r>
          </w:p>
        </w:tc>
        <w:tc>
          <w:tcPr>
            <w:tcW w:w="1122" w:type="dxa"/>
            <w:tcBorders>
              <w:top w:val="single" w:color="auto" w:sz="4" w:space="0"/>
              <w:left w:val="single" w:color="auto" w:sz="4" w:space="0"/>
              <w:bottom w:val="single" w:color="auto" w:sz="4" w:space="0"/>
              <w:right w:val="single" w:color="auto" w:sz="8" w:space="0"/>
            </w:tcBorders>
            <w:vAlign w:val="center"/>
          </w:tcPr>
          <w:p w14:paraId="263CCCC0">
            <w:pPr>
              <w:pStyle w:val="178"/>
            </w:pPr>
            <w:r>
              <w:rPr>
                <w:rFonts w:hint="eastAsia" w:hAnsi="宋体"/>
              </w:rPr>
              <w:t>每年一次</w:t>
            </w:r>
          </w:p>
        </w:tc>
      </w:tr>
      <w:tr w14:paraId="49C228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57" w:type="dxa"/>
            <w:bottom w:w="57" w:type="dxa"/>
            <w:right w:w="57" w:type="dxa"/>
          </w:tblCellMar>
        </w:tblPrEx>
        <w:trPr>
          <w:trHeight w:val="337" w:hRule="atLeast"/>
          <w:jc w:val="center"/>
        </w:trPr>
        <w:tc>
          <w:tcPr>
            <w:tcW w:w="9334" w:type="dxa"/>
            <w:gridSpan w:val="7"/>
            <w:tcBorders>
              <w:top w:val="single" w:color="auto" w:sz="8" w:space="0"/>
              <w:bottom w:val="single" w:color="auto" w:sz="8" w:space="0"/>
            </w:tcBorders>
            <w:shd w:val="clear" w:color="auto" w:fill="auto"/>
            <w:vAlign w:val="center"/>
          </w:tcPr>
          <w:p w14:paraId="33C018B5">
            <w:pPr>
              <w:pStyle w:val="101"/>
            </w:pPr>
            <w:r>
              <w:t>出厂水、管网末梢水如检出总大肠菌群，则需进一步检测大肠埃希氏菌</w:t>
            </w:r>
          </w:p>
        </w:tc>
      </w:tr>
    </w:tbl>
    <w:p w14:paraId="4036BDBF">
      <w:pPr>
        <w:pStyle w:val="101"/>
        <w:numPr>
          <w:ilvl w:val="0"/>
          <w:numId w:val="0"/>
        </w:numPr>
        <w:ind w:left="539" w:hanging="119"/>
      </w:pPr>
    </w:p>
    <w:p w14:paraId="699D4B03">
      <w:pPr>
        <w:pStyle w:val="56"/>
        <w:ind w:firstLine="0" w:firstLineChars="0"/>
        <w:sectPr>
          <w:pgSz w:w="11906" w:h="16838"/>
          <w:pgMar w:top="1928" w:right="1134" w:bottom="1134" w:left="1134" w:header="1418" w:footer="1134" w:gutter="284"/>
          <w:cols w:space="425" w:num="1"/>
          <w:formProt w:val="0"/>
          <w:docGrid w:linePitch="312" w:charSpace="0"/>
        </w:sectPr>
      </w:pPr>
    </w:p>
    <w:bookmarkEnd w:id="128"/>
    <w:p w14:paraId="782D22F1">
      <w:pPr>
        <w:pStyle w:val="63"/>
        <w:spacing w:after="120"/>
      </w:pPr>
      <w:bookmarkStart w:id="144" w:name="_Toc219964436"/>
      <w:bookmarkStart w:id="145" w:name="_Toc221711820"/>
      <w:bookmarkStart w:id="146" w:name="BookMark6"/>
      <w:r>
        <w:rPr>
          <w:rFonts w:hint="eastAsia"/>
          <w:spacing w:val="105"/>
        </w:rPr>
        <w:t>参考文</w:t>
      </w:r>
      <w:r>
        <w:rPr>
          <w:rFonts w:hint="eastAsia"/>
        </w:rPr>
        <w:t>献</w:t>
      </w:r>
      <w:bookmarkEnd w:id="144"/>
      <w:bookmarkEnd w:id="145"/>
    </w:p>
    <w:p w14:paraId="662E615A">
      <w:pPr>
        <w:pStyle w:val="56"/>
        <w:ind w:firstLine="420"/>
      </w:pPr>
      <w:r>
        <w:rPr>
          <w:rFonts w:hint="eastAsia"/>
        </w:rPr>
        <w:t>[1]GB 55026-2022 城市给水工程项目规</w:t>
      </w:r>
    </w:p>
    <w:p w14:paraId="3155C347">
      <w:pPr>
        <w:pStyle w:val="56"/>
        <w:ind w:firstLine="420"/>
      </w:pPr>
      <w:r>
        <w:rPr>
          <w:rFonts w:hint="eastAsia"/>
        </w:rPr>
        <w:t xml:space="preserve">[2]GB </w:t>
      </w:r>
      <w:r>
        <w:rPr>
          <w:rFonts w:hAnsi="宋体"/>
          <w:color w:val="000000"/>
          <w:szCs w:val="21"/>
        </w:rPr>
        <w:t>50013-2018室外给水设计标准</w:t>
      </w:r>
    </w:p>
    <w:p w14:paraId="4B52653B">
      <w:pPr>
        <w:pStyle w:val="56"/>
        <w:ind w:firstLine="420"/>
      </w:pPr>
      <w:r>
        <w:rPr>
          <w:rFonts w:hint="eastAsia"/>
        </w:rPr>
        <w:t>[3]GB/T 43824-2024 村镇供水工程技术规范</w:t>
      </w:r>
    </w:p>
    <w:p w14:paraId="7976C5DD">
      <w:pPr>
        <w:pStyle w:val="56"/>
        <w:ind w:firstLine="420"/>
      </w:pPr>
      <w:r>
        <w:rPr>
          <w:rFonts w:hint="eastAsia"/>
        </w:rPr>
        <w:t>[4]HJ 338-2018 饮用水水源保护区划分技术规范</w:t>
      </w:r>
    </w:p>
    <w:p w14:paraId="59B24F33">
      <w:pPr>
        <w:pStyle w:val="56"/>
        <w:ind w:firstLine="420"/>
      </w:pPr>
      <w:r>
        <w:rPr>
          <w:rFonts w:hint="eastAsia"/>
        </w:rPr>
        <w:t>[5]HJ/T 433-2008 饮用水水源保护区标志技术要求</w:t>
      </w:r>
    </w:p>
    <w:p w14:paraId="53CFC8BC">
      <w:pPr>
        <w:pStyle w:val="56"/>
        <w:ind w:firstLine="420"/>
      </w:pPr>
      <w:r>
        <w:rPr>
          <w:rFonts w:hint="eastAsia"/>
        </w:rPr>
        <w:t>[6]CJJ 58-2009 城镇水供水厂运行、维护及安全技术规程</w:t>
      </w:r>
    </w:p>
    <w:p w14:paraId="7CB839CB">
      <w:pPr>
        <w:pStyle w:val="56"/>
        <w:ind w:firstLine="420"/>
      </w:pPr>
      <w:r>
        <w:rPr>
          <w:rFonts w:hint="eastAsia"/>
        </w:rPr>
        <w:t>[7]CJJ 207-2013 城镇供水管网运行、维护及安全技术规程</w:t>
      </w:r>
    </w:p>
    <w:p w14:paraId="17C82F53">
      <w:pPr>
        <w:pStyle w:val="56"/>
        <w:ind w:firstLine="420"/>
      </w:pPr>
      <w:r>
        <w:rPr>
          <w:rFonts w:hint="eastAsia"/>
        </w:rPr>
        <w:t>[8]WS/T 528-2016</w:t>
      </w:r>
      <w:r>
        <w:t xml:space="preserve"> </w:t>
      </w:r>
      <w:r>
        <w:rPr>
          <w:rFonts w:hint="eastAsia"/>
        </w:rPr>
        <w:t>小型集中式供水消毒技术规范</w:t>
      </w:r>
    </w:p>
    <w:p w14:paraId="3D9069E8">
      <w:pPr>
        <w:pStyle w:val="56"/>
        <w:ind w:firstLine="420"/>
      </w:pPr>
      <w:r>
        <w:rPr>
          <w:rFonts w:hint="eastAsia"/>
        </w:rPr>
        <w:t>[9]饮用水水源保护区污染防治管理规定(2010修正)</w:t>
      </w:r>
    </w:p>
    <w:bookmarkEnd w:id="146"/>
    <w:p w14:paraId="690C920D">
      <w:pPr>
        <w:pStyle w:val="56"/>
        <w:ind w:firstLine="0" w:firstLineChars="0"/>
        <w:jc w:val="center"/>
      </w:pPr>
      <w:bookmarkStart w:id="147"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7"/>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B1306">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C5D1A">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03E64">
    <w:pPr>
      <w:pStyle w:val="52"/>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DC79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E949F">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FE06B">
    <w:pPr>
      <w:pStyle w:val="61"/>
    </w:pPr>
    <w:r>
      <w:fldChar w:fldCharType="begin"/>
    </w:r>
    <w:r>
      <w:instrText xml:space="preserve"> STYLEREF  标准文件_文件编号  \* MERGEFORMAT </w:instrText>
    </w:r>
    <w:r>
      <w:fldChar w:fldCharType="separate"/>
    </w:r>
    <w:r>
      <w:t>WS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983B8">
    <w:pPr>
      <w:pStyle w:val="18"/>
      <w:jc w:val="right"/>
    </w:pPr>
    <w:r>
      <w:fldChar w:fldCharType="begin"/>
    </w:r>
    <w:r>
      <w:instrText xml:space="preserve"> STYLEREF  标准文件_文件编号  \* MERGEFORMAT </w:instrText>
    </w:r>
    <w:r>
      <w:fldChar w:fldCharType="separate"/>
    </w:r>
    <w:r>
      <w:t>WS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c7H8LvFYnZq1yEzpwruknXAGZMiaDiw2SGgBwqqYLu/qfgrysaGO6qnWOCo3jrnaOSG3MRksY8DOOKxYC1jaAQ==" w:salt="7XMAEUyMF1tbjWENGJxT1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F27"/>
    <w:rsid w:val="0000040A"/>
    <w:rsid w:val="00000A94"/>
    <w:rsid w:val="00001972"/>
    <w:rsid w:val="00001D9A"/>
    <w:rsid w:val="00005666"/>
    <w:rsid w:val="00007B3A"/>
    <w:rsid w:val="000107E0"/>
    <w:rsid w:val="00011FDE"/>
    <w:rsid w:val="0001247A"/>
    <w:rsid w:val="00012FFD"/>
    <w:rsid w:val="00014162"/>
    <w:rsid w:val="00014340"/>
    <w:rsid w:val="00016A9C"/>
    <w:rsid w:val="00022184"/>
    <w:rsid w:val="00022762"/>
    <w:rsid w:val="0002355F"/>
    <w:rsid w:val="000238E0"/>
    <w:rsid w:val="000249DB"/>
    <w:rsid w:val="0002595E"/>
    <w:rsid w:val="000303C3"/>
    <w:rsid w:val="000319E6"/>
    <w:rsid w:val="000331D3"/>
    <w:rsid w:val="000346A5"/>
    <w:rsid w:val="000359C3"/>
    <w:rsid w:val="00035A7D"/>
    <w:rsid w:val="00036055"/>
    <w:rsid w:val="000410E8"/>
    <w:rsid w:val="0004249A"/>
    <w:rsid w:val="00043282"/>
    <w:rsid w:val="00044286"/>
    <w:rsid w:val="0004782E"/>
    <w:rsid w:val="00047F28"/>
    <w:rsid w:val="00047F8C"/>
    <w:rsid w:val="000503AA"/>
    <w:rsid w:val="000506A1"/>
    <w:rsid w:val="000515DD"/>
    <w:rsid w:val="00052593"/>
    <w:rsid w:val="0005265A"/>
    <w:rsid w:val="000539DD"/>
    <w:rsid w:val="00053BD3"/>
    <w:rsid w:val="000556ED"/>
    <w:rsid w:val="00055D7F"/>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6AEF"/>
    <w:rsid w:val="000C0F6C"/>
    <w:rsid w:val="000C11DB"/>
    <w:rsid w:val="000C1492"/>
    <w:rsid w:val="000C2FBD"/>
    <w:rsid w:val="000C4B41"/>
    <w:rsid w:val="000C57D6"/>
    <w:rsid w:val="000C7666"/>
    <w:rsid w:val="000D0A06"/>
    <w:rsid w:val="000D0A9C"/>
    <w:rsid w:val="000D1795"/>
    <w:rsid w:val="000D2F41"/>
    <w:rsid w:val="000D329A"/>
    <w:rsid w:val="000D4B9C"/>
    <w:rsid w:val="000D4EB6"/>
    <w:rsid w:val="000D753B"/>
    <w:rsid w:val="000E4C9E"/>
    <w:rsid w:val="000E6FD7"/>
    <w:rsid w:val="000F06E1"/>
    <w:rsid w:val="000F0E3C"/>
    <w:rsid w:val="000F19D5"/>
    <w:rsid w:val="000F4AEA"/>
    <w:rsid w:val="000F58BB"/>
    <w:rsid w:val="000F67E9"/>
    <w:rsid w:val="000F6C5C"/>
    <w:rsid w:val="00104926"/>
    <w:rsid w:val="00107BA7"/>
    <w:rsid w:val="00113B1E"/>
    <w:rsid w:val="00116862"/>
    <w:rsid w:val="0011711C"/>
    <w:rsid w:val="0012158B"/>
    <w:rsid w:val="00124E4F"/>
    <w:rsid w:val="001260B7"/>
    <w:rsid w:val="001265CB"/>
    <w:rsid w:val="001321C6"/>
    <w:rsid w:val="001325C4"/>
    <w:rsid w:val="00133010"/>
    <w:rsid w:val="001338EE"/>
    <w:rsid w:val="00133AAE"/>
    <w:rsid w:val="00135323"/>
    <w:rsid w:val="001356C4"/>
    <w:rsid w:val="00141114"/>
    <w:rsid w:val="001420D6"/>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10DF"/>
    <w:rsid w:val="0017340B"/>
    <w:rsid w:val="00173934"/>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5CC"/>
    <w:rsid w:val="001F4816"/>
    <w:rsid w:val="001F69B4"/>
    <w:rsid w:val="001F77C7"/>
    <w:rsid w:val="00200183"/>
    <w:rsid w:val="002007A2"/>
    <w:rsid w:val="0020107D"/>
    <w:rsid w:val="00202AA4"/>
    <w:rsid w:val="002031F7"/>
    <w:rsid w:val="002040E6"/>
    <w:rsid w:val="0020527B"/>
    <w:rsid w:val="002059A4"/>
    <w:rsid w:val="00205F2C"/>
    <w:rsid w:val="00210B15"/>
    <w:rsid w:val="00214028"/>
    <w:rsid w:val="002142EA"/>
    <w:rsid w:val="002204BB"/>
    <w:rsid w:val="00221B79"/>
    <w:rsid w:val="00221C6B"/>
    <w:rsid w:val="00224596"/>
    <w:rsid w:val="002253A1"/>
    <w:rsid w:val="002258B1"/>
    <w:rsid w:val="00225CF8"/>
    <w:rsid w:val="0022718D"/>
    <w:rsid w:val="0022794E"/>
    <w:rsid w:val="00233D64"/>
    <w:rsid w:val="00234784"/>
    <w:rsid w:val="0023482A"/>
    <w:rsid w:val="00234D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C6E"/>
    <w:rsid w:val="00281E9E"/>
    <w:rsid w:val="00285170"/>
    <w:rsid w:val="00285361"/>
    <w:rsid w:val="00292D60"/>
    <w:rsid w:val="00294D34"/>
    <w:rsid w:val="00294E3B"/>
    <w:rsid w:val="00295B8C"/>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A03"/>
    <w:rsid w:val="002A7F44"/>
    <w:rsid w:val="002B0C40"/>
    <w:rsid w:val="002B1966"/>
    <w:rsid w:val="002B23E3"/>
    <w:rsid w:val="002B4508"/>
    <w:rsid w:val="002B5779"/>
    <w:rsid w:val="002B7332"/>
    <w:rsid w:val="002B7F51"/>
    <w:rsid w:val="002C09E7"/>
    <w:rsid w:val="002C1090"/>
    <w:rsid w:val="002C391A"/>
    <w:rsid w:val="002C3F07"/>
    <w:rsid w:val="002C5278"/>
    <w:rsid w:val="002C76C2"/>
    <w:rsid w:val="002C7EBB"/>
    <w:rsid w:val="002D06C1"/>
    <w:rsid w:val="002D42B5"/>
    <w:rsid w:val="002D4F1A"/>
    <w:rsid w:val="002D6DA6"/>
    <w:rsid w:val="002D6EC6"/>
    <w:rsid w:val="002D79AC"/>
    <w:rsid w:val="002E039D"/>
    <w:rsid w:val="002E30E9"/>
    <w:rsid w:val="002E4D5A"/>
    <w:rsid w:val="002E6326"/>
    <w:rsid w:val="002F30E0"/>
    <w:rsid w:val="002F35E4"/>
    <w:rsid w:val="002F3730"/>
    <w:rsid w:val="002F38E1"/>
    <w:rsid w:val="002F7AF6"/>
    <w:rsid w:val="00300E63"/>
    <w:rsid w:val="00302F5F"/>
    <w:rsid w:val="0030441D"/>
    <w:rsid w:val="00306063"/>
    <w:rsid w:val="0031108A"/>
    <w:rsid w:val="00313B85"/>
    <w:rsid w:val="00317988"/>
    <w:rsid w:val="003221B4"/>
    <w:rsid w:val="00322E62"/>
    <w:rsid w:val="00324EDD"/>
    <w:rsid w:val="003331E4"/>
    <w:rsid w:val="00336C64"/>
    <w:rsid w:val="00337162"/>
    <w:rsid w:val="0034194F"/>
    <w:rsid w:val="00342DB8"/>
    <w:rsid w:val="0034342E"/>
    <w:rsid w:val="00344605"/>
    <w:rsid w:val="003474AA"/>
    <w:rsid w:val="00350D1D"/>
    <w:rsid w:val="00351901"/>
    <w:rsid w:val="003523F1"/>
    <w:rsid w:val="00352C83"/>
    <w:rsid w:val="00355E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1C5"/>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404"/>
    <w:rsid w:val="003B09AD"/>
    <w:rsid w:val="003B0BD9"/>
    <w:rsid w:val="003B1F18"/>
    <w:rsid w:val="003B5BF0"/>
    <w:rsid w:val="003B60BF"/>
    <w:rsid w:val="003B6BE3"/>
    <w:rsid w:val="003C010C"/>
    <w:rsid w:val="003C0A6C"/>
    <w:rsid w:val="003C2859"/>
    <w:rsid w:val="003C5A43"/>
    <w:rsid w:val="003D0467"/>
    <w:rsid w:val="003D0519"/>
    <w:rsid w:val="003D0FF6"/>
    <w:rsid w:val="003D262C"/>
    <w:rsid w:val="003D45D2"/>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3F2B"/>
    <w:rsid w:val="00404869"/>
    <w:rsid w:val="00405884"/>
    <w:rsid w:val="00407D39"/>
    <w:rsid w:val="0041458C"/>
    <w:rsid w:val="0041477A"/>
    <w:rsid w:val="004167A3"/>
    <w:rsid w:val="00432DAA"/>
    <w:rsid w:val="00434305"/>
    <w:rsid w:val="00435DF7"/>
    <w:rsid w:val="0044083F"/>
    <w:rsid w:val="00441AE7"/>
    <w:rsid w:val="00445574"/>
    <w:rsid w:val="004467FB"/>
    <w:rsid w:val="00452D6B"/>
    <w:rsid w:val="00454484"/>
    <w:rsid w:val="00454EE7"/>
    <w:rsid w:val="0045517B"/>
    <w:rsid w:val="004563CD"/>
    <w:rsid w:val="00463B77"/>
    <w:rsid w:val="00463C7B"/>
    <w:rsid w:val="00463F02"/>
    <w:rsid w:val="004644A6"/>
    <w:rsid w:val="004659BD"/>
    <w:rsid w:val="004662FB"/>
    <w:rsid w:val="00470775"/>
    <w:rsid w:val="00470AE0"/>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0E0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47FA5"/>
    <w:rsid w:val="0055013B"/>
    <w:rsid w:val="00551F6F"/>
    <w:rsid w:val="00552104"/>
    <w:rsid w:val="00555044"/>
    <w:rsid w:val="00561475"/>
    <w:rsid w:val="0056487B"/>
    <w:rsid w:val="00564FB9"/>
    <w:rsid w:val="00573D9E"/>
    <w:rsid w:val="005801E3"/>
    <w:rsid w:val="00581802"/>
    <w:rsid w:val="005836A8"/>
    <w:rsid w:val="0058409C"/>
    <w:rsid w:val="00584262"/>
    <w:rsid w:val="00586630"/>
    <w:rsid w:val="00587ADD"/>
    <w:rsid w:val="00592ECE"/>
    <w:rsid w:val="00593544"/>
    <w:rsid w:val="00595F2B"/>
    <w:rsid w:val="00596160"/>
    <w:rsid w:val="005966E2"/>
    <w:rsid w:val="00597007"/>
    <w:rsid w:val="005A0966"/>
    <w:rsid w:val="005A11B7"/>
    <w:rsid w:val="005A260B"/>
    <w:rsid w:val="005A4A1B"/>
    <w:rsid w:val="005A65D1"/>
    <w:rsid w:val="005A7830"/>
    <w:rsid w:val="005A7FCE"/>
    <w:rsid w:val="005B0F3F"/>
    <w:rsid w:val="005B4903"/>
    <w:rsid w:val="005B51CE"/>
    <w:rsid w:val="005B5885"/>
    <w:rsid w:val="005B5CD7"/>
    <w:rsid w:val="005B6CF6"/>
    <w:rsid w:val="005B7422"/>
    <w:rsid w:val="005C0875"/>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1CE2"/>
    <w:rsid w:val="005F284E"/>
    <w:rsid w:val="006015CE"/>
    <w:rsid w:val="00604784"/>
    <w:rsid w:val="00606419"/>
    <w:rsid w:val="00607D29"/>
    <w:rsid w:val="00612952"/>
    <w:rsid w:val="00614CC1"/>
    <w:rsid w:val="00615A9D"/>
    <w:rsid w:val="00615C43"/>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2AD9"/>
    <w:rsid w:val="006640E5"/>
    <w:rsid w:val="006646F1"/>
    <w:rsid w:val="00664929"/>
    <w:rsid w:val="00664F62"/>
    <w:rsid w:val="006655E1"/>
    <w:rsid w:val="00672060"/>
    <w:rsid w:val="00672653"/>
    <w:rsid w:val="00672BFD"/>
    <w:rsid w:val="006770F4"/>
    <w:rsid w:val="00677A84"/>
    <w:rsid w:val="0068026D"/>
    <w:rsid w:val="00680A27"/>
    <w:rsid w:val="006816A4"/>
    <w:rsid w:val="006819B8"/>
    <w:rsid w:val="006840A6"/>
    <w:rsid w:val="006850CD"/>
    <w:rsid w:val="00685AAB"/>
    <w:rsid w:val="00690298"/>
    <w:rsid w:val="006A07AA"/>
    <w:rsid w:val="006A25E5"/>
    <w:rsid w:val="006A2B46"/>
    <w:rsid w:val="006A336D"/>
    <w:rsid w:val="006A37B9"/>
    <w:rsid w:val="006A5805"/>
    <w:rsid w:val="006B2672"/>
    <w:rsid w:val="006B3719"/>
    <w:rsid w:val="006B54BF"/>
    <w:rsid w:val="006B5F44"/>
    <w:rsid w:val="006B5F90"/>
    <w:rsid w:val="006B62E4"/>
    <w:rsid w:val="006B7562"/>
    <w:rsid w:val="006C1BBA"/>
    <w:rsid w:val="006C2079"/>
    <w:rsid w:val="006C317D"/>
    <w:rsid w:val="006C5A62"/>
    <w:rsid w:val="006C5D68"/>
    <w:rsid w:val="006C5F27"/>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2DC"/>
    <w:rsid w:val="006F56E5"/>
    <w:rsid w:val="006F6284"/>
    <w:rsid w:val="007002C5"/>
    <w:rsid w:val="0070348B"/>
    <w:rsid w:val="00704387"/>
    <w:rsid w:val="00707669"/>
    <w:rsid w:val="00711CBA"/>
    <w:rsid w:val="00711FB5"/>
    <w:rsid w:val="00712A01"/>
    <w:rsid w:val="00714F58"/>
    <w:rsid w:val="00721F1E"/>
    <w:rsid w:val="007221C9"/>
    <w:rsid w:val="00722EA3"/>
    <w:rsid w:val="00722FBF"/>
    <w:rsid w:val="00722FC2"/>
    <w:rsid w:val="00725949"/>
    <w:rsid w:val="00727FA2"/>
    <w:rsid w:val="007322D9"/>
    <w:rsid w:val="00732BC0"/>
    <w:rsid w:val="00732F4E"/>
    <w:rsid w:val="0073720F"/>
    <w:rsid w:val="00737796"/>
    <w:rsid w:val="0074165C"/>
    <w:rsid w:val="00741696"/>
    <w:rsid w:val="00742C35"/>
    <w:rsid w:val="007432CA"/>
    <w:rsid w:val="00743866"/>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5F2A"/>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E58"/>
    <w:rsid w:val="007A6FD9"/>
    <w:rsid w:val="007A7FFA"/>
    <w:rsid w:val="007B04EB"/>
    <w:rsid w:val="007B0D4F"/>
    <w:rsid w:val="007B2CD6"/>
    <w:rsid w:val="007B341D"/>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E5A5D"/>
    <w:rsid w:val="007E62BA"/>
    <w:rsid w:val="007F0ED8"/>
    <w:rsid w:val="007F0F63"/>
    <w:rsid w:val="007F3748"/>
    <w:rsid w:val="007F75CE"/>
    <w:rsid w:val="008013A4"/>
    <w:rsid w:val="008027CE"/>
    <w:rsid w:val="00802F42"/>
    <w:rsid w:val="00804064"/>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9B7"/>
    <w:rsid w:val="00831B37"/>
    <w:rsid w:val="0083348C"/>
    <w:rsid w:val="008373D3"/>
    <w:rsid w:val="00840026"/>
    <w:rsid w:val="00840617"/>
    <w:rsid w:val="00842A47"/>
    <w:rsid w:val="00843C13"/>
    <w:rsid w:val="008454F8"/>
    <w:rsid w:val="0085173A"/>
    <w:rsid w:val="00854343"/>
    <w:rsid w:val="00860297"/>
    <w:rsid w:val="008603CE"/>
    <w:rsid w:val="008620FC"/>
    <w:rsid w:val="0086242B"/>
    <w:rsid w:val="008627A5"/>
    <w:rsid w:val="00863E05"/>
    <w:rsid w:val="0086431E"/>
    <w:rsid w:val="00865ACA"/>
    <w:rsid w:val="00865D28"/>
    <w:rsid w:val="00865F85"/>
    <w:rsid w:val="0086639B"/>
    <w:rsid w:val="00867C10"/>
    <w:rsid w:val="00870439"/>
    <w:rsid w:val="00870DA1"/>
    <w:rsid w:val="008743FE"/>
    <w:rsid w:val="00883F93"/>
    <w:rsid w:val="00884DB3"/>
    <w:rsid w:val="00885A9D"/>
    <w:rsid w:val="008864F6"/>
    <w:rsid w:val="0089049D"/>
    <w:rsid w:val="008928C9"/>
    <w:rsid w:val="00892B31"/>
    <w:rsid w:val="008938DC"/>
    <w:rsid w:val="00893FD1"/>
    <w:rsid w:val="00894836"/>
    <w:rsid w:val="00895172"/>
    <w:rsid w:val="00895680"/>
    <w:rsid w:val="00896DFF"/>
    <w:rsid w:val="0089762C"/>
    <w:rsid w:val="008A03F1"/>
    <w:rsid w:val="008A0FA0"/>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AF6"/>
    <w:rsid w:val="00911BE5"/>
    <w:rsid w:val="00913CA9"/>
    <w:rsid w:val="009145AE"/>
    <w:rsid w:val="009146CE"/>
    <w:rsid w:val="00914CA7"/>
    <w:rsid w:val="00915C3E"/>
    <w:rsid w:val="009161A8"/>
    <w:rsid w:val="00917AFB"/>
    <w:rsid w:val="00920F94"/>
    <w:rsid w:val="00922239"/>
    <w:rsid w:val="009245F5"/>
    <w:rsid w:val="009249EC"/>
    <w:rsid w:val="00927342"/>
    <w:rsid w:val="009273B3"/>
    <w:rsid w:val="009305B5"/>
    <w:rsid w:val="00941FA3"/>
    <w:rsid w:val="009429D5"/>
    <w:rsid w:val="00942BF1"/>
    <w:rsid w:val="00945180"/>
    <w:rsid w:val="00945428"/>
    <w:rsid w:val="0094607B"/>
    <w:rsid w:val="00953604"/>
    <w:rsid w:val="0095496B"/>
    <w:rsid w:val="0095638F"/>
    <w:rsid w:val="009610DC"/>
    <w:rsid w:val="0096110E"/>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2FB"/>
    <w:rsid w:val="00994782"/>
    <w:rsid w:val="0099551B"/>
    <w:rsid w:val="009967B3"/>
    <w:rsid w:val="00997BF1"/>
    <w:rsid w:val="009A089C"/>
    <w:rsid w:val="009A118E"/>
    <w:rsid w:val="009A195D"/>
    <w:rsid w:val="009A21CD"/>
    <w:rsid w:val="009A22A4"/>
    <w:rsid w:val="009A278C"/>
    <w:rsid w:val="009A2BC2"/>
    <w:rsid w:val="009A42C1"/>
    <w:rsid w:val="009A5429"/>
    <w:rsid w:val="009A6573"/>
    <w:rsid w:val="009A72AD"/>
    <w:rsid w:val="009B09E0"/>
    <w:rsid w:val="009B0BC5"/>
    <w:rsid w:val="009B1247"/>
    <w:rsid w:val="009B6029"/>
    <w:rsid w:val="009B6464"/>
    <w:rsid w:val="009B6971"/>
    <w:rsid w:val="009C27F1"/>
    <w:rsid w:val="009C3152"/>
    <w:rsid w:val="009C4CFA"/>
    <w:rsid w:val="009C5070"/>
    <w:rsid w:val="009D112C"/>
    <w:rsid w:val="009D1C8A"/>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25C85"/>
    <w:rsid w:val="00A30EFC"/>
    <w:rsid w:val="00A31984"/>
    <w:rsid w:val="00A32D73"/>
    <w:rsid w:val="00A3367B"/>
    <w:rsid w:val="00A3597D"/>
    <w:rsid w:val="00A4006C"/>
    <w:rsid w:val="00A40091"/>
    <w:rsid w:val="00A4030F"/>
    <w:rsid w:val="00A40372"/>
    <w:rsid w:val="00A41477"/>
    <w:rsid w:val="00A41C79"/>
    <w:rsid w:val="00A41CB5"/>
    <w:rsid w:val="00A42CDF"/>
    <w:rsid w:val="00A4307B"/>
    <w:rsid w:val="00A4452E"/>
    <w:rsid w:val="00A4472C"/>
    <w:rsid w:val="00A44E69"/>
    <w:rsid w:val="00A4661E"/>
    <w:rsid w:val="00A508B5"/>
    <w:rsid w:val="00A5599A"/>
    <w:rsid w:val="00A55BD6"/>
    <w:rsid w:val="00A55D50"/>
    <w:rsid w:val="00A56B7D"/>
    <w:rsid w:val="00A57142"/>
    <w:rsid w:val="00A61D48"/>
    <w:rsid w:val="00A648CD"/>
    <w:rsid w:val="00A6537A"/>
    <w:rsid w:val="00A67866"/>
    <w:rsid w:val="00A70B07"/>
    <w:rsid w:val="00A70C43"/>
    <w:rsid w:val="00A723F8"/>
    <w:rsid w:val="00A76488"/>
    <w:rsid w:val="00A77CCB"/>
    <w:rsid w:val="00A83D8D"/>
    <w:rsid w:val="00A83E19"/>
    <w:rsid w:val="00A8446B"/>
    <w:rsid w:val="00A8473F"/>
    <w:rsid w:val="00A862D6"/>
    <w:rsid w:val="00A86E8F"/>
    <w:rsid w:val="00A8715E"/>
    <w:rsid w:val="00A87647"/>
    <w:rsid w:val="00A9295B"/>
    <w:rsid w:val="00A93B09"/>
    <w:rsid w:val="00A9467D"/>
    <w:rsid w:val="00A952D7"/>
    <w:rsid w:val="00A963F7"/>
    <w:rsid w:val="00A96AD8"/>
    <w:rsid w:val="00A97FA3"/>
    <w:rsid w:val="00AA004D"/>
    <w:rsid w:val="00AA052C"/>
    <w:rsid w:val="00AA1E45"/>
    <w:rsid w:val="00AA30E6"/>
    <w:rsid w:val="00AA4286"/>
    <w:rsid w:val="00AA456B"/>
    <w:rsid w:val="00AA51FE"/>
    <w:rsid w:val="00AA57F5"/>
    <w:rsid w:val="00AA672E"/>
    <w:rsid w:val="00AA6EC9"/>
    <w:rsid w:val="00AB6309"/>
    <w:rsid w:val="00AB6C5F"/>
    <w:rsid w:val="00AB7129"/>
    <w:rsid w:val="00AC27A6"/>
    <w:rsid w:val="00AC30F7"/>
    <w:rsid w:val="00AC3A5A"/>
    <w:rsid w:val="00AC4A90"/>
    <w:rsid w:val="00AC4D95"/>
    <w:rsid w:val="00AC5DF4"/>
    <w:rsid w:val="00AD0AEF"/>
    <w:rsid w:val="00AD11B7"/>
    <w:rsid w:val="00AD1A94"/>
    <w:rsid w:val="00AD1C05"/>
    <w:rsid w:val="00AD4126"/>
    <w:rsid w:val="00AD421C"/>
    <w:rsid w:val="00AD44FA"/>
    <w:rsid w:val="00AD5D89"/>
    <w:rsid w:val="00AE070A"/>
    <w:rsid w:val="00AE101C"/>
    <w:rsid w:val="00AE232F"/>
    <w:rsid w:val="00AE556D"/>
    <w:rsid w:val="00AE5EB4"/>
    <w:rsid w:val="00AF0C18"/>
    <w:rsid w:val="00AF47C5"/>
    <w:rsid w:val="00AF5398"/>
    <w:rsid w:val="00AF700A"/>
    <w:rsid w:val="00B049AF"/>
    <w:rsid w:val="00B04A98"/>
    <w:rsid w:val="00B07242"/>
    <w:rsid w:val="00B10534"/>
    <w:rsid w:val="00B113DB"/>
    <w:rsid w:val="00B11D8A"/>
    <w:rsid w:val="00B12981"/>
    <w:rsid w:val="00B147DD"/>
    <w:rsid w:val="00B156FD"/>
    <w:rsid w:val="00B21F61"/>
    <w:rsid w:val="00B22196"/>
    <w:rsid w:val="00B261F1"/>
    <w:rsid w:val="00B265BC"/>
    <w:rsid w:val="00B31FB1"/>
    <w:rsid w:val="00B33952"/>
    <w:rsid w:val="00B33C5E"/>
    <w:rsid w:val="00B342F4"/>
    <w:rsid w:val="00B34369"/>
    <w:rsid w:val="00B34DC2"/>
    <w:rsid w:val="00B378E5"/>
    <w:rsid w:val="00B4346D"/>
    <w:rsid w:val="00B440F4"/>
    <w:rsid w:val="00B44432"/>
    <w:rsid w:val="00B447A5"/>
    <w:rsid w:val="00B463F9"/>
    <w:rsid w:val="00B4654C"/>
    <w:rsid w:val="00B47293"/>
    <w:rsid w:val="00B50E50"/>
    <w:rsid w:val="00B52120"/>
    <w:rsid w:val="00B54ABC"/>
    <w:rsid w:val="00B55C6D"/>
    <w:rsid w:val="00B56FBE"/>
    <w:rsid w:val="00B62B58"/>
    <w:rsid w:val="00B65149"/>
    <w:rsid w:val="00B66567"/>
    <w:rsid w:val="00B66F52"/>
    <w:rsid w:val="00B66FE5"/>
    <w:rsid w:val="00B71101"/>
    <w:rsid w:val="00B72880"/>
    <w:rsid w:val="00B758BF"/>
    <w:rsid w:val="00B827A6"/>
    <w:rsid w:val="00B831CE"/>
    <w:rsid w:val="00B86677"/>
    <w:rsid w:val="00B87131"/>
    <w:rsid w:val="00B87E81"/>
    <w:rsid w:val="00B936DF"/>
    <w:rsid w:val="00B939B1"/>
    <w:rsid w:val="00B96B20"/>
    <w:rsid w:val="00B96D40"/>
    <w:rsid w:val="00B97386"/>
    <w:rsid w:val="00B978DB"/>
    <w:rsid w:val="00BA263B"/>
    <w:rsid w:val="00BA42B2"/>
    <w:rsid w:val="00BA58D4"/>
    <w:rsid w:val="00BA5B9E"/>
    <w:rsid w:val="00BA7C9A"/>
    <w:rsid w:val="00BB5F8F"/>
    <w:rsid w:val="00BB657A"/>
    <w:rsid w:val="00BC1A4E"/>
    <w:rsid w:val="00BC4112"/>
    <w:rsid w:val="00BC4F5B"/>
    <w:rsid w:val="00BC5DC7"/>
    <w:rsid w:val="00BC6B41"/>
    <w:rsid w:val="00BC6B8B"/>
    <w:rsid w:val="00BC73D8"/>
    <w:rsid w:val="00BD52D7"/>
    <w:rsid w:val="00BD5AD2"/>
    <w:rsid w:val="00BE22F3"/>
    <w:rsid w:val="00BE5B52"/>
    <w:rsid w:val="00BE7B8D"/>
    <w:rsid w:val="00BE7DB8"/>
    <w:rsid w:val="00BF0993"/>
    <w:rsid w:val="00BF0B4B"/>
    <w:rsid w:val="00BF10A9"/>
    <w:rsid w:val="00BF1703"/>
    <w:rsid w:val="00BF231C"/>
    <w:rsid w:val="00BF4D96"/>
    <w:rsid w:val="00BF51E5"/>
    <w:rsid w:val="00BF74A6"/>
    <w:rsid w:val="00BF7718"/>
    <w:rsid w:val="00C00CE1"/>
    <w:rsid w:val="00C013AD"/>
    <w:rsid w:val="00C020FB"/>
    <w:rsid w:val="00C04904"/>
    <w:rsid w:val="00C056B3"/>
    <w:rsid w:val="00C103E5"/>
    <w:rsid w:val="00C13319"/>
    <w:rsid w:val="00C13EE9"/>
    <w:rsid w:val="00C15A50"/>
    <w:rsid w:val="00C171CC"/>
    <w:rsid w:val="00C21540"/>
    <w:rsid w:val="00C21906"/>
    <w:rsid w:val="00C21BFA"/>
    <w:rsid w:val="00C24C8D"/>
    <w:rsid w:val="00C25FE2"/>
    <w:rsid w:val="00C260F4"/>
    <w:rsid w:val="00C26B53"/>
    <w:rsid w:val="00C279B2"/>
    <w:rsid w:val="00C32C96"/>
    <w:rsid w:val="00C33E50"/>
    <w:rsid w:val="00C34C20"/>
    <w:rsid w:val="00C35A3E"/>
    <w:rsid w:val="00C36F43"/>
    <w:rsid w:val="00C406BF"/>
    <w:rsid w:val="00C42130"/>
    <w:rsid w:val="00C423A4"/>
    <w:rsid w:val="00C44AA2"/>
    <w:rsid w:val="00C44BF5"/>
    <w:rsid w:val="00C521D6"/>
    <w:rsid w:val="00C53D22"/>
    <w:rsid w:val="00C55232"/>
    <w:rsid w:val="00C553A4"/>
    <w:rsid w:val="00C55A06"/>
    <w:rsid w:val="00C55D03"/>
    <w:rsid w:val="00C601BC"/>
    <w:rsid w:val="00C61436"/>
    <w:rsid w:val="00C6329F"/>
    <w:rsid w:val="00C63340"/>
    <w:rsid w:val="00C643F9"/>
    <w:rsid w:val="00C64E95"/>
    <w:rsid w:val="00C671E5"/>
    <w:rsid w:val="00C71372"/>
    <w:rsid w:val="00C72410"/>
    <w:rsid w:val="00C7287F"/>
    <w:rsid w:val="00C80CB8"/>
    <w:rsid w:val="00C819A5"/>
    <w:rsid w:val="00C819F8"/>
    <w:rsid w:val="00C8248C"/>
    <w:rsid w:val="00C84BB4"/>
    <w:rsid w:val="00C84E33"/>
    <w:rsid w:val="00C86D6F"/>
    <w:rsid w:val="00C905FC"/>
    <w:rsid w:val="00C9125F"/>
    <w:rsid w:val="00C92D03"/>
    <w:rsid w:val="00C9319C"/>
    <w:rsid w:val="00C9435D"/>
    <w:rsid w:val="00C96741"/>
    <w:rsid w:val="00CA2D1B"/>
    <w:rsid w:val="00CA5D5C"/>
    <w:rsid w:val="00CA662A"/>
    <w:rsid w:val="00CA6883"/>
    <w:rsid w:val="00CA7AFD"/>
    <w:rsid w:val="00CA7C3C"/>
    <w:rsid w:val="00CB0189"/>
    <w:rsid w:val="00CB0A9B"/>
    <w:rsid w:val="00CB0BA2"/>
    <w:rsid w:val="00CB1A42"/>
    <w:rsid w:val="00CB1B0C"/>
    <w:rsid w:val="00CB2C0B"/>
    <w:rsid w:val="00CB4CE1"/>
    <w:rsid w:val="00CB517D"/>
    <w:rsid w:val="00CB5FA3"/>
    <w:rsid w:val="00CC038D"/>
    <w:rsid w:val="00CC0788"/>
    <w:rsid w:val="00CC39FF"/>
    <w:rsid w:val="00CC3C2F"/>
    <w:rsid w:val="00CC4AC8"/>
    <w:rsid w:val="00CC5233"/>
    <w:rsid w:val="00CC5DE6"/>
    <w:rsid w:val="00CC6E4E"/>
    <w:rsid w:val="00CC6F67"/>
    <w:rsid w:val="00CC6FE8"/>
    <w:rsid w:val="00CC7202"/>
    <w:rsid w:val="00CC7799"/>
    <w:rsid w:val="00CD2808"/>
    <w:rsid w:val="00CD28BF"/>
    <w:rsid w:val="00CD4092"/>
    <w:rsid w:val="00CD4A20"/>
    <w:rsid w:val="00CD50A1"/>
    <w:rsid w:val="00CD519E"/>
    <w:rsid w:val="00CD5EEF"/>
    <w:rsid w:val="00CE0C4F"/>
    <w:rsid w:val="00CE30EA"/>
    <w:rsid w:val="00CF048A"/>
    <w:rsid w:val="00CF155A"/>
    <w:rsid w:val="00CF2947"/>
    <w:rsid w:val="00CF2989"/>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280E"/>
    <w:rsid w:val="00D1489E"/>
    <w:rsid w:val="00D20737"/>
    <w:rsid w:val="00D21E81"/>
    <w:rsid w:val="00D223DE"/>
    <w:rsid w:val="00D25E37"/>
    <w:rsid w:val="00D2661A"/>
    <w:rsid w:val="00D27582"/>
    <w:rsid w:val="00D32719"/>
    <w:rsid w:val="00D33333"/>
    <w:rsid w:val="00D34CB7"/>
    <w:rsid w:val="00D352A2"/>
    <w:rsid w:val="00D4162B"/>
    <w:rsid w:val="00D43B0F"/>
    <w:rsid w:val="00D4514F"/>
    <w:rsid w:val="00D451E2"/>
    <w:rsid w:val="00D45E89"/>
    <w:rsid w:val="00D45E8D"/>
    <w:rsid w:val="00D466AE"/>
    <w:rsid w:val="00D4734F"/>
    <w:rsid w:val="00D51BF3"/>
    <w:rsid w:val="00D534A2"/>
    <w:rsid w:val="00D5454D"/>
    <w:rsid w:val="00D54B98"/>
    <w:rsid w:val="00D55122"/>
    <w:rsid w:val="00D56D85"/>
    <w:rsid w:val="00D66846"/>
    <w:rsid w:val="00D675FB"/>
    <w:rsid w:val="00D71F25"/>
    <w:rsid w:val="00D77031"/>
    <w:rsid w:val="00D81136"/>
    <w:rsid w:val="00D8457B"/>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1D"/>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1A23"/>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3E6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225"/>
    <w:rsid w:val="00E74C54"/>
    <w:rsid w:val="00E77A03"/>
    <w:rsid w:val="00E822E8"/>
    <w:rsid w:val="00E82554"/>
    <w:rsid w:val="00E82606"/>
    <w:rsid w:val="00E846C8"/>
    <w:rsid w:val="00E84957"/>
    <w:rsid w:val="00E84A55"/>
    <w:rsid w:val="00E857FA"/>
    <w:rsid w:val="00E85BFF"/>
    <w:rsid w:val="00E8639F"/>
    <w:rsid w:val="00E90391"/>
    <w:rsid w:val="00E906C2"/>
    <w:rsid w:val="00E9070B"/>
    <w:rsid w:val="00E9311F"/>
    <w:rsid w:val="00E934D1"/>
    <w:rsid w:val="00E94AF0"/>
    <w:rsid w:val="00E95D13"/>
    <w:rsid w:val="00E95DD3"/>
    <w:rsid w:val="00E969D5"/>
    <w:rsid w:val="00EA001C"/>
    <w:rsid w:val="00EA58D1"/>
    <w:rsid w:val="00EA59E4"/>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47ED"/>
    <w:rsid w:val="00EE613F"/>
    <w:rsid w:val="00EE7295"/>
    <w:rsid w:val="00EE7869"/>
    <w:rsid w:val="00EF054A"/>
    <w:rsid w:val="00EF3235"/>
    <w:rsid w:val="00EF7E72"/>
    <w:rsid w:val="00F01542"/>
    <w:rsid w:val="00F03AB5"/>
    <w:rsid w:val="00F05B55"/>
    <w:rsid w:val="00F06D37"/>
    <w:rsid w:val="00F07B9D"/>
    <w:rsid w:val="00F10926"/>
    <w:rsid w:val="00F11586"/>
    <w:rsid w:val="00F1183B"/>
    <w:rsid w:val="00F11C9F"/>
    <w:rsid w:val="00F12263"/>
    <w:rsid w:val="00F1409D"/>
    <w:rsid w:val="00F14214"/>
    <w:rsid w:val="00F157A9"/>
    <w:rsid w:val="00F25BB6"/>
    <w:rsid w:val="00F26B7E"/>
    <w:rsid w:val="00F27A3B"/>
    <w:rsid w:val="00F332D2"/>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66FB7"/>
    <w:rsid w:val="00F71E22"/>
    <w:rsid w:val="00F72142"/>
    <w:rsid w:val="00F72AE7"/>
    <w:rsid w:val="00F75344"/>
    <w:rsid w:val="00F77D98"/>
    <w:rsid w:val="00F833BA"/>
    <w:rsid w:val="00F84FD0"/>
    <w:rsid w:val="00F859A8"/>
    <w:rsid w:val="00F9108B"/>
    <w:rsid w:val="00F91349"/>
    <w:rsid w:val="00F93A8A"/>
    <w:rsid w:val="00F95248"/>
    <w:rsid w:val="00F956A9"/>
    <w:rsid w:val="00F963ED"/>
    <w:rsid w:val="00F966CF"/>
    <w:rsid w:val="00F96CAE"/>
    <w:rsid w:val="00F97C99"/>
    <w:rsid w:val="00FA56D4"/>
    <w:rsid w:val="00FA662D"/>
    <w:rsid w:val="00FA6730"/>
    <w:rsid w:val="00FA698B"/>
    <w:rsid w:val="00FA73B1"/>
    <w:rsid w:val="00FB0CB9"/>
    <w:rsid w:val="00FB32A1"/>
    <w:rsid w:val="00FB45F1"/>
    <w:rsid w:val="00FB4A72"/>
    <w:rsid w:val="00FB54E8"/>
    <w:rsid w:val="00FB6116"/>
    <w:rsid w:val="00FB703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752072E"/>
    <w:rsid w:val="3FB261C3"/>
    <w:rsid w:val="5DE71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085FAD1744A45CE85DE3E3E37CE9442"/>
        <w:style w:val=""/>
        <w:category>
          <w:name w:val="常规"/>
          <w:gallery w:val="placeholder"/>
        </w:category>
        <w:types>
          <w:type w:val="bbPlcHdr"/>
        </w:types>
        <w:behaviors>
          <w:behavior w:val="content"/>
        </w:behaviors>
        <w:description w:val=""/>
        <w:guid w:val="{4D7191E0-4094-4DDC-B15B-7219384F33BA}"/>
      </w:docPartPr>
      <w:docPartBody>
        <w:p w14:paraId="0D6B891C">
          <w:pPr>
            <w:pStyle w:val="5"/>
          </w:pPr>
          <w:r>
            <w:rPr>
              <w:rStyle w:val="4"/>
              <w:rFonts w:hint="eastAsia"/>
            </w:rPr>
            <w:t>单击或点击此处输入文字。</w:t>
          </w:r>
        </w:p>
      </w:docPartBody>
    </w:docPart>
    <w:docPart>
      <w:docPartPr>
        <w:name w:val="B2704E0F713D434EBA6405F6AA0993E6"/>
        <w:style w:val=""/>
        <w:category>
          <w:name w:val="常规"/>
          <w:gallery w:val="placeholder"/>
        </w:category>
        <w:types>
          <w:type w:val="bbPlcHdr"/>
        </w:types>
        <w:behaviors>
          <w:behavior w:val="content"/>
        </w:behaviors>
        <w:description w:val=""/>
        <w:guid w:val="{052D1220-9E03-41DA-B8DA-3C0F17F48E3F}"/>
      </w:docPartPr>
      <w:docPartBody>
        <w:p w14:paraId="0BA049F7">
          <w:pPr>
            <w:pStyle w:val="6"/>
          </w:pPr>
          <w:r>
            <w:rPr>
              <w:rStyle w:val="4"/>
              <w:rFonts w:hint="eastAsia"/>
            </w:rPr>
            <w:t>选择一项。</w:t>
          </w:r>
        </w:p>
      </w:docPartBody>
    </w:docPart>
    <w:docPart>
      <w:docPartPr>
        <w:name w:val="D592FB1EAA924DDFA394E6484216861E"/>
        <w:style w:val=""/>
        <w:category>
          <w:name w:val="常规"/>
          <w:gallery w:val="placeholder"/>
        </w:category>
        <w:types>
          <w:type w:val="bbPlcHdr"/>
        </w:types>
        <w:behaviors>
          <w:behavior w:val="content"/>
        </w:behaviors>
        <w:description w:val=""/>
        <w:guid w:val="{DFC2FF5F-1DF7-4B83-9967-568C0C9F1DB7}"/>
      </w:docPartPr>
      <w:docPartBody>
        <w:p w14:paraId="39C8A47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D83"/>
    <w:rsid w:val="000D7D2C"/>
    <w:rsid w:val="00104F49"/>
    <w:rsid w:val="001223A0"/>
    <w:rsid w:val="001905DD"/>
    <w:rsid w:val="00284CD7"/>
    <w:rsid w:val="003102A5"/>
    <w:rsid w:val="005054B8"/>
    <w:rsid w:val="0077278E"/>
    <w:rsid w:val="008F0853"/>
    <w:rsid w:val="00993B5E"/>
    <w:rsid w:val="009A2B15"/>
    <w:rsid w:val="009D6244"/>
    <w:rsid w:val="00AB4E87"/>
    <w:rsid w:val="00AB76DF"/>
    <w:rsid w:val="00D07632"/>
    <w:rsid w:val="00E402D9"/>
    <w:rsid w:val="00EB43FC"/>
    <w:rsid w:val="00EE3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085FAD1744A45CE85DE3E3E37CE944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2704E0F713D434EBA6405F6AA0993E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592FB1EAA924DDFA394E6484216861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9200E7-48C0-43A9-9FCD-0BFF05A5D43E}">
  <ds:schemaRefs/>
</ds:datastoreItem>
</file>

<file path=docProps/app.xml><?xml version="1.0" encoding="utf-8"?>
<Properties xmlns="http://schemas.openxmlformats.org/officeDocument/2006/extended-properties" xmlns:vt="http://schemas.openxmlformats.org/officeDocument/2006/docPropsVTypes">
  <Template>行业标准</Template>
  <Company>PCMI</Company>
  <Pages>12</Pages>
  <Words>6950</Words>
  <Characters>7508</Characters>
  <Lines>65</Lines>
  <Paragraphs>18</Paragraphs>
  <TotalTime>3</TotalTime>
  <ScaleCrop>false</ScaleCrop>
  <LinksUpToDate>false</LinksUpToDate>
  <CharactersWithSpaces>7690</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2026-01-20T06:00:00Z</dcterms:created>
  <dc:creator>Sue Sun</dc:creator>
  <dc:description>&lt;config cover="true" show_menu="true" version="1.0.0" doctype="SDKXY"&gt;_x000d_
&lt;/config&gt;</dc:description>
  <cp:lastModifiedBy>xpy</cp:lastModifiedBy>
  <cp:lastPrinted>2021-02-02T08:18:00Z</cp:lastPrinted>
  <dcterms:modified xsi:type="dcterms:W3CDTF">2026-02-13T05:38:51Z</dcterms:modified>
  <dc:title>行业标准</dc:title>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eyJoZGlkIjoiODU2Zjc4MmMxZGI2NDQ3MGZiMTA4NmJkNGFiMDYwMmUiLCJ1c2VySWQiOiI0OTcwMDc1NTUifQ==</vt:lpwstr>
  </property>
  <property fmtid="{D5CDD505-2E9C-101B-9397-08002B2CF9AE}" pid="15" name="KSOProductBuildVer">
    <vt:lpwstr>2052-12.1.0.24031</vt:lpwstr>
  </property>
  <property fmtid="{D5CDD505-2E9C-101B-9397-08002B2CF9AE}" pid="16" name="ICV">
    <vt:lpwstr>D9D393BA7C9F46CF991DAC7B50F63D7D_13</vt:lpwstr>
  </property>
</Properties>
</file>