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027DA">
      <w:pPr>
        <w:widowControl w:val="0"/>
        <w:kinsoku/>
        <w:autoSpaceDE/>
        <w:autoSpaceDN/>
        <w:adjustRightInd/>
        <w:snapToGrid/>
        <w:spacing w:after="0"/>
        <w:jc w:val="both"/>
        <w:textAlignment w:val="auto"/>
        <w:rPr>
          <w:rFonts w:hint="eastAsia" w:ascii="黑体" w:hAnsi="黑体" w:eastAsia="黑体" w:cs="Times New Roman"/>
          <w:snapToGrid/>
          <w:kern w:val="2"/>
          <w:sz w:val="32"/>
          <w:szCs w:val="32"/>
          <w:lang w:eastAsia="zh-CN"/>
        </w:rPr>
      </w:pPr>
      <w:bookmarkStart w:id="0" w:name="_Hlk216686813"/>
      <w:r>
        <w:rPr>
          <w:rFonts w:hint="eastAsia" w:ascii="黑体" w:hAnsi="黑体" w:eastAsia="黑体" w:cs="Times New Roman"/>
          <w:snapToGrid/>
          <w:kern w:val="2"/>
          <w:sz w:val="32"/>
          <w:szCs w:val="32"/>
          <w:lang w:eastAsia="zh-CN"/>
        </w:rPr>
        <w:t>附件4</w:t>
      </w:r>
    </w:p>
    <w:p w14:paraId="7A19C03B">
      <w:pPr>
        <w:widowControl w:val="0"/>
        <w:kinsoku/>
        <w:autoSpaceDE/>
        <w:autoSpaceDN/>
        <w:adjustRightInd/>
        <w:snapToGrid/>
        <w:spacing w:after="0"/>
        <w:jc w:val="both"/>
        <w:textAlignment w:val="auto"/>
        <w:rPr>
          <w:rFonts w:ascii="Times New Roman" w:hAnsi="Times New Roman" w:eastAsia="宋体" w:cs="Times New Roman"/>
          <w:snapToGrid/>
          <w:kern w:val="2"/>
          <w:szCs w:val="24"/>
          <w:lang w:eastAsia="zh-CN"/>
        </w:rPr>
      </w:pPr>
      <w:r>
        <w:rPr>
          <w:rFonts w:ascii="Times New Roman" w:hAnsi="Times New Roman" w:eastAsia="宋体" w:cs="Times New Roman"/>
          <w:snapToGrid/>
          <w:kern w:val="2"/>
          <w:szCs w:val="24"/>
          <w:lang w:eastAsia="zh-CN"/>
        </w:rPr>
        <w:t>ICS XXXX</w:t>
      </w:r>
    </w:p>
    <w:p w14:paraId="268C67ED">
      <w:pPr>
        <w:widowControl w:val="0"/>
        <w:kinsoku/>
        <w:autoSpaceDE/>
        <w:autoSpaceDN/>
        <w:adjustRightInd/>
        <w:snapToGrid/>
        <w:spacing w:after="0"/>
        <w:jc w:val="both"/>
        <w:textAlignment w:val="auto"/>
        <w:rPr>
          <w:rFonts w:ascii="Times New Roman" w:hAnsi="Times New Roman" w:eastAsia="宋体" w:cs="Times New Roman"/>
          <w:snapToGrid/>
          <w:kern w:val="2"/>
          <w:szCs w:val="24"/>
          <w:lang w:eastAsia="zh-CN"/>
        </w:rPr>
      </w:pPr>
      <w:r>
        <w:rPr>
          <w:rFonts w:ascii="Times New Roman" w:hAnsi="Times New Roman" w:eastAsia="宋体" w:cs="Times New Roman"/>
          <w:snapToGrid/>
          <w:kern w:val="2"/>
          <w:szCs w:val="24"/>
          <w:lang w:eastAsia="zh-CN"/>
        </w:rPr>
        <w:t>CXX</w:t>
      </w:r>
    </w:p>
    <w:p w14:paraId="7380573D">
      <w:pPr>
        <w:widowControl w:val="0"/>
        <w:kinsoku/>
        <w:autoSpaceDE/>
        <w:autoSpaceDN/>
        <w:adjustRightInd/>
        <w:snapToGrid/>
        <w:spacing w:after="0"/>
        <w:jc w:val="both"/>
        <w:textAlignment w:val="auto"/>
        <w:rPr>
          <w:rFonts w:ascii="Times New Roman" w:hAnsi="Times New Roman" w:eastAsia="宋体" w:cs="Times New Roman"/>
          <w:snapToGrid/>
          <w:kern w:val="2"/>
          <w:szCs w:val="24"/>
          <w:lang w:eastAsia="zh-CN"/>
        </w:rPr>
      </w:pPr>
      <w:r>
        <w:rPr>
          <w:rFonts w:ascii="Times New Roman" w:hAnsi="Times New Roman" w:eastAsia="宋体" w:cs="Times New Roman"/>
          <w:snapToGrid/>
          <w:kern w:val="2"/>
          <w:szCs w:val="24"/>
          <w:lang w:eastAsia="zh-CN"/>
        </w:rPr>
        <w:t>备案号：XXXXX-XXXX</w:t>
      </w:r>
    </w:p>
    <w:p w14:paraId="1E5ACFDF">
      <w:pPr>
        <w:kinsoku/>
        <w:overflowPunct w:val="0"/>
        <w:autoSpaceDE/>
        <w:autoSpaceDN/>
        <w:spacing w:line="14" w:lineRule="auto"/>
        <w:rPr>
          <w:rFonts w:ascii="Times New Roman" w:hAnsi="Times New Roman" w:cs="Times New Roman"/>
          <w:sz w:val="2"/>
          <w:lang w:eastAsia="zh-CN"/>
        </w:rPr>
      </w:pPr>
      <w:r>
        <w:rPr>
          <w:rFonts w:ascii="Times New Roman" w:hAnsi="Times New Roman" w:eastAsia="Arial" w:cs="Times New Roman"/>
          <w:sz w:val="2"/>
          <w:szCs w:val="2"/>
          <w:lang w:eastAsia="zh-CN"/>
        </w:rPr>
        <w:br w:type="column"/>
      </w:r>
    </w:p>
    <w:p w14:paraId="06DF8FA9">
      <w:pPr>
        <w:kinsoku/>
        <w:overflowPunct w:val="0"/>
        <w:autoSpaceDE/>
        <w:autoSpaceDN/>
        <w:spacing w:before="249" w:line="179" w:lineRule="auto"/>
        <w:rPr>
          <w:rFonts w:ascii="Times New Roman" w:hAnsi="Times New Roman" w:eastAsia="Times New Roman" w:cs="Times New Roman"/>
          <w:sz w:val="95"/>
          <w:szCs w:val="95"/>
          <w:lang w:eastAsia="zh-CN"/>
        </w:rPr>
      </w:pPr>
      <w:r>
        <w:rPr>
          <w:rFonts w:ascii="Times New Roman" w:hAnsi="Times New Roman" w:eastAsia="Times New Roman" w:cs="Times New Roman"/>
          <w:spacing w:val="136"/>
          <w:w w:val="131"/>
          <w:sz w:val="95"/>
          <w:szCs w:val="95"/>
          <w:lang w:eastAsia="zh-CN"/>
        </w:rPr>
        <w:t>WS</w:t>
      </w:r>
    </w:p>
    <w:p w14:paraId="5636A5D0">
      <w:pPr>
        <w:kinsoku/>
        <w:overflowPunct w:val="0"/>
        <w:autoSpaceDE/>
        <w:autoSpaceDN/>
        <w:spacing w:line="179" w:lineRule="auto"/>
        <w:rPr>
          <w:rFonts w:ascii="Times New Roman" w:hAnsi="Times New Roman" w:eastAsia="Times New Roman" w:cs="Times New Roman"/>
          <w:sz w:val="95"/>
          <w:szCs w:val="95"/>
          <w:lang w:eastAsia="zh-CN"/>
        </w:rPr>
        <w:sectPr>
          <w:pgSz w:w="11906" w:h="16838"/>
          <w:pgMar w:top="1393" w:right="1212" w:bottom="0" w:left="1681" w:header="0" w:footer="0" w:gutter="0"/>
          <w:cols w:equalWidth="0" w:num="2">
            <w:col w:w="6157" w:space="100"/>
            <w:col w:w="2755"/>
          </w:cols>
        </w:sectPr>
      </w:pPr>
    </w:p>
    <w:p w14:paraId="36BE0C2C">
      <w:pPr>
        <w:kinsoku/>
        <w:overflowPunct w:val="0"/>
        <w:autoSpaceDE/>
        <w:autoSpaceDN/>
        <w:spacing w:line="464" w:lineRule="auto"/>
        <w:rPr>
          <w:rFonts w:ascii="Times New Roman" w:hAnsi="Times New Roman" w:cs="Times New Roman"/>
          <w:lang w:eastAsia="zh-CN"/>
        </w:rPr>
      </w:pPr>
    </w:p>
    <w:p w14:paraId="4CB786AC">
      <w:pPr>
        <w:pStyle w:val="4"/>
        <w:kinsoku/>
        <w:overflowPunct w:val="0"/>
        <w:autoSpaceDE/>
        <w:autoSpaceDN/>
        <w:spacing w:before="182" w:line="193" w:lineRule="auto"/>
        <w:ind w:left="658"/>
        <w:rPr>
          <w:rFonts w:ascii="Times New Roman" w:hAnsi="Times New Roman" w:cs="Times New Roman"/>
          <w:sz w:val="40"/>
          <w:szCs w:val="40"/>
          <w:lang w:eastAsia="zh-CN"/>
        </w:rPr>
      </w:pPr>
      <w:r>
        <w:rPr>
          <w:rFonts w:hint="eastAsia" w:ascii="Times New Roman" w:hAnsi="Times New Roman" w:cs="Times New Roman"/>
          <w:spacing w:val="90"/>
          <w:w w:val="126"/>
          <w:sz w:val="40"/>
          <w:szCs w:val="40"/>
          <w:lang w:eastAsia="zh-CN"/>
        </w:rPr>
        <w:t>中华人民共和国卫生行业标准</w:t>
      </w:r>
    </w:p>
    <w:p w14:paraId="1C105D28">
      <w:pPr>
        <w:pStyle w:val="4"/>
        <w:kinsoku/>
        <w:overflowPunct w:val="0"/>
        <w:autoSpaceDE/>
        <w:autoSpaceDN/>
        <w:spacing w:line="197" w:lineRule="auto"/>
        <w:ind w:left="6185"/>
        <w:rPr>
          <w:rFonts w:ascii="Times New Roman" w:hAnsi="Times New Roman" w:eastAsia="Times New Roman" w:cs="Times New Roman"/>
          <w:sz w:val="20"/>
          <w:szCs w:val="20"/>
        </w:rPr>
      </w:pPr>
      <w:r>
        <w:rPr>
          <w:lang w:eastAsia="zh-CN"/>
        </w:rPr>
        <mc:AlternateContent>
          <mc:Choice Requires="wps">
            <w:drawing>
              <wp:anchor distT="0" distB="0" distL="114300" distR="114300" simplePos="0" relativeHeight="251659264" behindDoc="0" locked="0" layoutInCell="0" allowOverlap="1">
                <wp:simplePos x="0" y="0"/>
                <wp:positionH relativeFrom="column">
                  <wp:posOffset>146050</wp:posOffset>
                </wp:positionH>
                <wp:positionV relativeFrom="paragraph">
                  <wp:posOffset>341630</wp:posOffset>
                </wp:positionV>
                <wp:extent cx="5181600" cy="0"/>
                <wp:effectExtent l="0" t="9525" r="0" b="13335"/>
                <wp:wrapNone/>
                <wp:docPr id="1" name="Straight Connector 1"/>
                <wp:cNvGraphicFramePr/>
                <a:graphic xmlns:a="http://schemas.openxmlformats.org/drawingml/2006/main">
                  <a:graphicData uri="http://schemas.microsoft.com/office/word/2010/wordprocessingShape">
                    <wps:wsp>
                      <wps:cNvCnPr/>
                      <wps:spPr>
                        <a:xfrm>
                          <a:off x="0" y="0"/>
                          <a:ext cx="518160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5pt;margin-top:26.9pt;height:0pt;width:408pt;z-index:251659264;mso-width-relative:page;mso-height-relative:page;" filled="f" stroked="t" coordsize="21600,21600" o:allowincell="f" o:gfxdata="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8p9PMNQAAAAIAQAADwAAAAAAAAAB&#10;ACAAAAAiAAAAZHJzL2Rvd25yZXYueG1sUEsBAhQAFAAAAAgAh07iQONREavbAQAA3AMAAA4AAAAA&#10;AAAAAQAgAAAAIwEAAGRycy9lMm9Eb2MueG1sUEsFBgAAAAAGAAYAWQEAAHAFAAAAAA==&#10;">
                <v:fill on="f" focussize="0,0"/>
                <v:stroke weight="1.5pt" color="#000000" joinstyle="round"/>
                <v:imagedata o:title=""/>
                <o:lock v:ext="edit" aspectratio="f"/>
              </v:line>
            </w:pict>
          </mc:Fallback>
        </mc:AlternateContent>
      </w:r>
      <w:r>
        <w:rPr>
          <w:rFonts w:ascii="Times New Roman" w:hAnsi="Times New Roman" w:eastAsia="Times New Roman" w:cs="Times New Roman"/>
          <w:sz w:val="20"/>
          <w:szCs w:val="20"/>
        </w:rPr>
        <w:t>WS</w:t>
      </w:r>
      <w:r>
        <w:rPr>
          <w:rFonts w:ascii="Times New Roman" w:hAnsi="Times New Roman" w:eastAsia="Times New Roman" w:cs="Times New Roman"/>
          <w:spacing w:val="25"/>
          <w:sz w:val="20"/>
          <w:szCs w:val="20"/>
        </w:rPr>
        <w:t>/</w:t>
      </w:r>
      <w:r>
        <w:rPr>
          <w:rFonts w:ascii="Times New Roman" w:hAnsi="Times New Roman" w:eastAsia="Times New Roman" w:cs="Times New Roman"/>
          <w:sz w:val="20"/>
          <w:szCs w:val="20"/>
        </w:rPr>
        <w:t>T</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XXX</w:t>
      </w:r>
      <w:r>
        <w:rPr>
          <w:rFonts w:hint="eastAsia" w:ascii="Times New Roman" w:hAnsi="Times New Roman" w:cs="Times New Roman"/>
          <w:spacing w:val="25"/>
          <w:sz w:val="20"/>
          <w:szCs w:val="20"/>
        </w:rPr>
        <w:t>－</w:t>
      </w:r>
      <w:r>
        <w:rPr>
          <w:rFonts w:ascii="Times New Roman" w:hAnsi="Times New Roman" w:eastAsia="Times New Roman" w:cs="Times New Roman"/>
          <w:sz w:val="20"/>
          <w:szCs w:val="20"/>
        </w:rPr>
        <w:t>XXXX</w:t>
      </w:r>
    </w:p>
    <w:p w14:paraId="61E04FBB">
      <w:pPr>
        <w:kinsoku/>
        <w:overflowPunct w:val="0"/>
        <w:autoSpaceDE/>
        <w:autoSpaceDN/>
        <w:spacing w:line="30" w:lineRule="exact"/>
        <w:ind w:firstLine="478"/>
        <w:rPr>
          <w:rFonts w:ascii="Times New Roman" w:hAnsi="Times New Roman" w:cs="Times New Roman"/>
        </w:rPr>
      </w:pPr>
    </w:p>
    <w:p w14:paraId="32B889FC">
      <w:pPr>
        <w:kinsoku/>
        <w:overflowPunct w:val="0"/>
        <w:autoSpaceDE/>
        <w:autoSpaceDN/>
        <w:spacing w:line="268" w:lineRule="auto"/>
        <w:rPr>
          <w:rFonts w:ascii="Times New Roman" w:hAnsi="Times New Roman" w:cs="Times New Roman"/>
        </w:rPr>
      </w:pPr>
    </w:p>
    <w:p w14:paraId="735BD657">
      <w:pPr>
        <w:kinsoku/>
        <w:overflowPunct w:val="0"/>
        <w:autoSpaceDE/>
        <w:autoSpaceDN/>
        <w:spacing w:line="268" w:lineRule="auto"/>
        <w:rPr>
          <w:rFonts w:ascii="Times New Roman" w:hAnsi="Times New Roman" w:cs="Times New Roman"/>
        </w:rPr>
      </w:pPr>
      <w:bookmarkStart w:id="5" w:name="_GoBack"/>
      <w:bookmarkEnd w:id="5"/>
    </w:p>
    <w:p w14:paraId="0BA2960F">
      <w:pPr>
        <w:kinsoku/>
        <w:overflowPunct w:val="0"/>
        <w:autoSpaceDE/>
        <w:autoSpaceDN/>
        <w:spacing w:line="268" w:lineRule="auto"/>
        <w:rPr>
          <w:rFonts w:ascii="Times New Roman" w:hAnsi="Times New Roman" w:cs="Times New Roman"/>
        </w:rPr>
      </w:pPr>
    </w:p>
    <w:p w14:paraId="2EF4BBCC">
      <w:pPr>
        <w:kinsoku/>
        <w:overflowPunct w:val="0"/>
        <w:autoSpaceDE/>
        <w:autoSpaceDN/>
        <w:spacing w:line="268" w:lineRule="auto"/>
        <w:rPr>
          <w:rFonts w:ascii="Times New Roman" w:hAnsi="Times New Roman" w:cs="Times New Roman"/>
        </w:rPr>
      </w:pPr>
    </w:p>
    <w:p w14:paraId="035932DE">
      <w:pPr>
        <w:kinsoku/>
        <w:overflowPunct w:val="0"/>
        <w:autoSpaceDE/>
        <w:autoSpaceDN/>
        <w:spacing w:line="268" w:lineRule="auto"/>
        <w:rPr>
          <w:rFonts w:ascii="Times New Roman" w:hAnsi="Times New Roman" w:cs="Times New Roman"/>
        </w:rPr>
      </w:pPr>
    </w:p>
    <w:p w14:paraId="20BFEC6C">
      <w:pPr>
        <w:pStyle w:val="4"/>
        <w:kinsoku/>
        <w:overflowPunct w:val="0"/>
        <w:autoSpaceDE/>
        <w:autoSpaceDN/>
        <w:spacing w:before="214" w:line="175" w:lineRule="auto"/>
        <w:jc w:val="center"/>
        <w:rPr>
          <w:rFonts w:ascii="Times New Roman" w:hAnsi="Times New Roman" w:eastAsia="黑体" w:cs="Times New Roman"/>
          <w:sz w:val="52"/>
          <w:szCs w:val="52"/>
          <w:lang w:eastAsia="zh-CN"/>
        </w:rPr>
      </w:pPr>
      <w:r>
        <w:rPr>
          <w:rFonts w:hint="eastAsia" w:ascii="Times New Roman" w:hAnsi="Times New Roman" w:eastAsia="黑体" w:cs="Times New Roman"/>
          <w:spacing w:val="6"/>
          <w:sz w:val="52"/>
          <w:szCs w:val="52"/>
          <w:lang w:eastAsia="zh-CN"/>
        </w:rPr>
        <w:t>食源性产气荚膜梭菌病判定标准</w:t>
      </w:r>
    </w:p>
    <w:p w14:paraId="242B1072">
      <w:pPr>
        <w:pStyle w:val="4"/>
        <w:kinsoku/>
        <w:overflowPunct w:val="0"/>
        <w:autoSpaceDE/>
        <w:autoSpaceDN/>
        <w:spacing w:line="553" w:lineRule="exact"/>
        <w:jc w:val="center"/>
        <w:rPr>
          <w:rFonts w:ascii="Times New Roman" w:hAnsi="Times New Roman" w:eastAsia="黑体" w:cs="Times New Roman"/>
          <w:sz w:val="52"/>
          <w:szCs w:val="52"/>
          <w:lang w:eastAsia="zh-CN"/>
        </w:rPr>
      </w:pPr>
      <w:r>
        <w:rPr>
          <w:rFonts w:hint="eastAsia" w:ascii="Times New Roman" w:hAnsi="Times New Roman" w:eastAsia="黑体" w:cs="Times New Roman"/>
          <w:spacing w:val="7"/>
          <w:sz w:val="52"/>
          <w:szCs w:val="52"/>
          <w:lang w:eastAsia="zh-CN"/>
        </w:rPr>
        <w:t>及技术处理原则</w:t>
      </w:r>
    </w:p>
    <w:p w14:paraId="467C7F7A">
      <w:pPr>
        <w:kinsoku/>
        <w:overflowPunct w:val="0"/>
        <w:autoSpaceDE/>
        <w:autoSpaceDN/>
        <w:spacing w:before="207" w:line="192" w:lineRule="auto"/>
        <w:ind w:left="538"/>
        <w:jc w:val="center"/>
        <w:rPr>
          <w:rFonts w:ascii="Times New Roman" w:hAnsi="Times New Roman" w:cs="Times New Roman"/>
          <w:sz w:val="30"/>
          <w:szCs w:val="30"/>
          <w:lang w:eastAsia="zh-CN"/>
        </w:rPr>
      </w:pPr>
      <w:r>
        <w:rPr>
          <w:rFonts w:ascii="Times New Roman" w:hAnsi="Times New Roman" w:cs="Times New Roman"/>
          <w:sz w:val="30"/>
          <w:szCs w:val="30"/>
          <w:lang w:eastAsia="zh-CN"/>
        </w:rPr>
        <w:t xml:space="preserve">Diagnostic criteria and principles of management for </w:t>
      </w:r>
    </w:p>
    <w:p w14:paraId="04DE1760">
      <w:pPr>
        <w:kinsoku/>
        <w:overflowPunct w:val="0"/>
        <w:autoSpaceDE/>
        <w:autoSpaceDN/>
        <w:spacing w:before="207" w:line="192" w:lineRule="auto"/>
        <w:ind w:left="538"/>
        <w:jc w:val="center"/>
        <w:rPr>
          <w:rFonts w:ascii="Times New Roman" w:hAnsi="Times New Roman" w:cs="Times New Roman"/>
          <w:sz w:val="30"/>
          <w:szCs w:val="30"/>
          <w:lang w:eastAsia="zh-CN"/>
        </w:rPr>
      </w:pPr>
      <w:r>
        <w:rPr>
          <w:rFonts w:hint="eastAsia" w:ascii="Times New Roman" w:hAnsi="Times New Roman" w:cs="Times New Roman"/>
          <w:sz w:val="30"/>
          <w:szCs w:val="30"/>
          <w:lang w:eastAsia="zh-CN"/>
        </w:rPr>
        <w:t xml:space="preserve">foodborne </w:t>
      </w:r>
      <w:r>
        <w:rPr>
          <w:rFonts w:hint="eastAsia" w:ascii="Times New Roman" w:hAnsi="Times New Roman" w:cs="Times New Roman"/>
          <w:i/>
          <w:iCs/>
          <w:sz w:val="30"/>
          <w:szCs w:val="30"/>
          <w:lang w:eastAsia="zh-CN"/>
        </w:rPr>
        <w:t>Clostridium perfringens</w:t>
      </w:r>
      <w:r>
        <w:rPr>
          <w:rFonts w:hint="eastAsia" w:ascii="Times New Roman" w:hAnsi="Times New Roman" w:cs="Times New Roman"/>
          <w:sz w:val="30"/>
          <w:szCs w:val="30"/>
          <w:lang w:eastAsia="zh-CN"/>
        </w:rPr>
        <w:t xml:space="preserve"> disease</w:t>
      </w:r>
    </w:p>
    <w:p w14:paraId="2A7014CE">
      <w:pPr>
        <w:kinsoku/>
        <w:overflowPunct w:val="0"/>
        <w:autoSpaceDE/>
        <w:autoSpaceDN/>
        <w:spacing w:line="258" w:lineRule="auto"/>
        <w:rPr>
          <w:rFonts w:ascii="Times New Roman" w:hAnsi="Times New Roman" w:cs="Times New Roman"/>
          <w:lang w:eastAsia="zh-CN"/>
        </w:rPr>
      </w:pPr>
    </w:p>
    <w:p w14:paraId="04586A1C">
      <w:pPr>
        <w:pStyle w:val="4"/>
        <w:kinsoku/>
        <w:overflowPunct w:val="0"/>
        <w:autoSpaceDE/>
        <w:autoSpaceDN/>
        <w:spacing w:before="88" w:line="304" w:lineRule="auto"/>
        <w:ind w:left="3980" w:right="2608" w:hanging="1828"/>
        <w:jc w:val="center"/>
        <w:rPr>
          <w:rFonts w:ascii="Times New Roman" w:hAnsi="Times New Roman" w:eastAsia="宋体" w:cs="Times New Roman"/>
          <w:sz w:val="20"/>
          <w:szCs w:val="20"/>
          <w:lang w:eastAsia="zh-CN"/>
        </w:rPr>
      </w:pPr>
      <w:r>
        <w:rPr>
          <w:rFonts w:hint="eastAsia" w:ascii="Times New Roman" w:hAnsi="Times New Roman" w:eastAsia="宋体" w:cs="Times New Roman"/>
          <w:spacing w:val="4"/>
          <w:sz w:val="20"/>
          <w:szCs w:val="20"/>
          <w:lang w:eastAsia="zh-CN"/>
        </w:rPr>
        <w:t>（征求意见稿）</w:t>
      </w:r>
    </w:p>
    <w:p w14:paraId="32C31949">
      <w:pPr>
        <w:kinsoku/>
        <w:overflowPunct w:val="0"/>
        <w:autoSpaceDE/>
        <w:autoSpaceDN/>
        <w:spacing w:line="255" w:lineRule="auto"/>
        <w:rPr>
          <w:rFonts w:ascii="Times New Roman" w:hAnsi="Times New Roman" w:cs="Times New Roman"/>
          <w:lang w:eastAsia="zh-CN"/>
        </w:rPr>
      </w:pPr>
    </w:p>
    <w:p w14:paraId="738DFFB1">
      <w:pPr>
        <w:kinsoku/>
        <w:overflowPunct w:val="0"/>
        <w:autoSpaceDE/>
        <w:autoSpaceDN/>
        <w:spacing w:line="255" w:lineRule="auto"/>
        <w:rPr>
          <w:rFonts w:ascii="Times New Roman" w:hAnsi="Times New Roman" w:cs="Times New Roman"/>
          <w:lang w:eastAsia="zh-CN"/>
        </w:rPr>
      </w:pPr>
    </w:p>
    <w:p w14:paraId="0DC52B90">
      <w:pPr>
        <w:kinsoku/>
        <w:overflowPunct w:val="0"/>
        <w:autoSpaceDE/>
        <w:autoSpaceDN/>
        <w:spacing w:line="255" w:lineRule="auto"/>
        <w:rPr>
          <w:rFonts w:ascii="Times New Roman" w:hAnsi="Times New Roman" w:cs="Times New Roman"/>
          <w:lang w:eastAsia="zh-CN"/>
        </w:rPr>
      </w:pPr>
    </w:p>
    <w:p w14:paraId="177C40D2">
      <w:pPr>
        <w:kinsoku/>
        <w:overflowPunct w:val="0"/>
        <w:autoSpaceDE/>
        <w:autoSpaceDN/>
        <w:spacing w:line="255" w:lineRule="auto"/>
        <w:rPr>
          <w:rFonts w:ascii="Times New Roman" w:hAnsi="Times New Roman" w:cs="Times New Roman"/>
          <w:lang w:eastAsia="zh-CN"/>
        </w:rPr>
      </w:pPr>
    </w:p>
    <w:p w14:paraId="0000CF6F">
      <w:pPr>
        <w:kinsoku/>
        <w:overflowPunct w:val="0"/>
        <w:autoSpaceDE/>
        <w:autoSpaceDN/>
        <w:spacing w:line="255" w:lineRule="auto"/>
        <w:rPr>
          <w:rFonts w:ascii="Times New Roman" w:hAnsi="Times New Roman" w:cs="Times New Roman"/>
          <w:lang w:eastAsia="zh-CN"/>
        </w:rPr>
      </w:pPr>
    </w:p>
    <w:p w14:paraId="6D029848">
      <w:pPr>
        <w:kinsoku/>
        <w:overflowPunct w:val="0"/>
        <w:autoSpaceDE/>
        <w:autoSpaceDN/>
        <w:spacing w:line="255" w:lineRule="auto"/>
        <w:rPr>
          <w:rFonts w:ascii="Times New Roman" w:hAnsi="Times New Roman" w:cs="Times New Roman"/>
          <w:lang w:eastAsia="zh-CN"/>
        </w:rPr>
      </w:pPr>
    </w:p>
    <w:p w14:paraId="60AAD1C0">
      <w:pPr>
        <w:kinsoku/>
        <w:overflowPunct w:val="0"/>
        <w:autoSpaceDE/>
        <w:autoSpaceDN/>
        <w:spacing w:line="255" w:lineRule="auto"/>
        <w:rPr>
          <w:rFonts w:ascii="Times New Roman" w:hAnsi="Times New Roman" w:cs="Times New Roman"/>
          <w:lang w:eastAsia="zh-CN"/>
        </w:rPr>
      </w:pPr>
    </w:p>
    <w:p w14:paraId="3C604C72">
      <w:pPr>
        <w:kinsoku/>
        <w:overflowPunct w:val="0"/>
        <w:autoSpaceDE/>
        <w:autoSpaceDN/>
        <w:spacing w:line="255" w:lineRule="auto"/>
        <w:rPr>
          <w:rFonts w:ascii="Times New Roman" w:hAnsi="Times New Roman" w:cs="Times New Roman"/>
          <w:lang w:eastAsia="zh-CN"/>
        </w:rPr>
      </w:pPr>
    </w:p>
    <w:p w14:paraId="587F302D">
      <w:pPr>
        <w:kinsoku/>
        <w:overflowPunct w:val="0"/>
        <w:autoSpaceDE/>
        <w:autoSpaceDN/>
        <w:spacing w:line="255" w:lineRule="auto"/>
        <w:rPr>
          <w:rFonts w:ascii="Times New Roman" w:hAnsi="Times New Roman" w:cs="Times New Roman"/>
          <w:lang w:eastAsia="zh-CN"/>
        </w:rPr>
      </w:pPr>
    </w:p>
    <w:p w14:paraId="2BFE72E0">
      <w:pPr>
        <w:kinsoku/>
        <w:overflowPunct w:val="0"/>
        <w:autoSpaceDE/>
        <w:autoSpaceDN/>
        <w:spacing w:line="255" w:lineRule="auto"/>
        <w:rPr>
          <w:rFonts w:ascii="Times New Roman" w:hAnsi="Times New Roman" w:cs="Times New Roman"/>
          <w:lang w:eastAsia="zh-CN"/>
        </w:rPr>
      </w:pPr>
    </w:p>
    <w:p w14:paraId="3B218278">
      <w:pPr>
        <w:pStyle w:val="4"/>
        <w:kinsoku/>
        <w:overflowPunct w:val="0"/>
        <w:autoSpaceDE/>
        <w:autoSpaceDN/>
        <w:spacing w:before="91" w:line="196" w:lineRule="auto"/>
        <w:ind w:left="123"/>
        <w:rPr>
          <w:rFonts w:ascii="Times New Roman" w:hAnsi="Times New Roman" w:eastAsia="宋体" w:cs="Times New Roman"/>
          <w:sz w:val="20"/>
          <w:szCs w:val="20"/>
          <w:lang w:eastAsia="zh-CN"/>
        </w:rPr>
      </w:pPr>
      <w:r>
        <w:rPr>
          <w:rFonts w:hint="eastAsia" w:ascii="Times New Roman" w:hAnsi="Times New Roman" w:eastAsia="宋体" w:cs="Times New Roman"/>
          <w:spacing w:val="-10"/>
          <w:w w:val="95"/>
          <w:sz w:val="20"/>
          <w:szCs w:val="20"/>
          <w:lang w:eastAsia="zh-CN"/>
        </w:rPr>
        <w:t>XXXX-XX-XX 发布</w:t>
      </w:r>
      <w:r>
        <w:rPr>
          <w:rFonts w:hint="eastAsia" w:ascii="Times New Roman" w:hAnsi="Times New Roman" w:eastAsia="宋体" w:cs="Times New Roman"/>
          <w:spacing w:val="1"/>
          <w:sz w:val="20"/>
          <w:szCs w:val="20"/>
          <w:lang w:eastAsia="zh-CN"/>
        </w:rPr>
        <w:t xml:space="preserve">                         </w:t>
      </w:r>
      <w:r>
        <w:rPr>
          <w:rFonts w:hint="eastAsia" w:ascii="Times New Roman" w:hAnsi="Times New Roman" w:eastAsia="宋体" w:cs="Times New Roman"/>
          <w:sz w:val="20"/>
          <w:szCs w:val="20"/>
          <w:lang w:eastAsia="zh-CN"/>
        </w:rPr>
        <w:t xml:space="preserve">                                                                                        </w:t>
      </w:r>
      <w:r>
        <w:rPr>
          <w:rFonts w:hint="eastAsia" w:ascii="Times New Roman" w:hAnsi="Times New Roman" w:eastAsia="宋体" w:cs="Times New Roman"/>
          <w:spacing w:val="-10"/>
          <w:w w:val="95"/>
          <w:sz w:val="20"/>
          <w:szCs w:val="20"/>
          <w:lang w:eastAsia="zh-CN"/>
        </w:rPr>
        <w:t>XXXX-XX-XX 实施</w:t>
      </w:r>
    </w:p>
    <w:p w14:paraId="3B28FB8A">
      <w:pPr>
        <w:kinsoku/>
        <w:overflowPunct w:val="0"/>
        <w:autoSpaceDE/>
        <w:autoSpaceDN/>
        <w:spacing w:before="167" w:line="46" w:lineRule="exact"/>
        <w:rPr>
          <w:rFonts w:ascii="Times New Roman" w:hAnsi="Times New Roman" w:cs="Times New Roman"/>
        </w:rPr>
      </w:pPr>
      <w:r>
        <w:rPr>
          <w:rFonts w:ascii="Times New Roman" w:hAnsi="Times New Roman" w:cs="Times New Roman"/>
          <w:lang w:eastAsia="zh-CN"/>
        </w:rPr>
        <w:drawing>
          <wp:inline distT="0" distB="0" distL="0" distR="0">
            <wp:extent cx="5721985" cy="28575"/>
            <wp:effectExtent l="0" t="0" r="8255" b="1905"/>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5722009" cy="29209"/>
                    </a:xfrm>
                    <a:prstGeom prst="rect">
                      <a:avLst/>
                    </a:prstGeom>
                  </pic:spPr>
                </pic:pic>
              </a:graphicData>
            </a:graphic>
          </wp:inline>
        </w:drawing>
      </w:r>
    </w:p>
    <w:p w14:paraId="13552770">
      <w:pPr>
        <w:kinsoku/>
        <w:overflowPunct w:val="0"/>
        <w:autoSpaceDE/>
        <w:autoSpaceDN/>
        <w:spacing w:line="270" w:lineRule="auto"/>
        <w:rPr>
          <w:rFonts w:ascii="Times New Roman" w:hAnsi="Times New Roman" w:cs="Times New Roman"/>
        </w:rPr>
      </w:pPr>
    </w:p>
    <w:p w14:paraId="7565F6B7">
      <w:pPr>
        <w:pStyle w:val="4"/>
        <w:kinsoku/>
        <w:overflowPunct w:val="0"/>
        <w:autoSpaceDE/>
        <w:autoSpaceDN/>
        <w:spacing w:before="159"/>
        <w:ind w:left="1199"/>
        <w:rPr>
          <w:rFonts w:ascii="Times New Roman" w:hAnsi="Times New Roman" w:cs="Times New Roman"/>
          <w:spacing w:val="-11"/>
          <w:position w:val="-2"/>
          <w:lang w:eastAsia="zh-CN"/>
        </w:rPr>
        <w:sectPr>
          <w:type w:val="continuous"/>
          <w:pgSz w:w="11906" w:h="16838"/>
          <w:pgMar w:top="1393" w:right="1212" w:bottom="0" w:left="1681" w:header="0" w:footer="0" w:gutter="0"/>
          <w:cols w:equalWidth="0" w:num="1">
            <w:col w:w="9012"/>
          </w:cols>
        </w:sectPr>
      </w:pPr>
      <w:r>
        <w:rPr>
          <w:rFonts w:hint="eastAsia" w:ascii="Times New Roman" w:hAnsi="Times New Roman" w:cs="Times New Roman"/>
          <w:spacing w:val="-11"/>
          <w:position w:val="-2"/>
          <w:lang w:eastAsia="zh-CN"/>
        </w:rPr>
        <w:t>中</w:t>
      </w:r>
      <w:r>
        <w:rPr>
          <w:rFonts w:hint="eastAsia" w:ascii="Times New Roman" w:hAnsi="Times New Roman" w:cs="Times New Roman"/>
          <w:spacing w:val="-47"/>
          <w:position w:val="-2"/>
          <w:lang w:eastAsia="zh-CN"/>
        </w:rPr>
        <w:t xml:space="preserve"> </w:t>
      </w:r>
      <w:r>
        <w:rPr>
          <w:rFonts w:hint="eastAsia" w:ascii="Times New Roman" w:hAnsi="Times New Roman" w:cs="Times New Roman"/>
          <w:spacing w:val="-11"/>
          <w:position w:val="-2"/>
          <w:lang w:eastAsia="zh-CN"/>
        </w:rPr>
        <w:t>华</w:t>
      </w:r>
      <w:r>
        <w:rPr>
          <w:rFonts w:hint="eastAsia" w:ascii="Times New Roman" w:hAnsi="Times New Roman" w:cs="Times New Roman"/>
          <w:spacing w:val="-51"/>
          <w:position w:val="-2"/>
          <w:lang w:eastAsia="zh-CN"/>
        </w:rPr>
        <w:t xml:space="preserve"> </w:t>
      </w:r>
      <w:r>
        <w:rPr>
          <w:rFonts w:hint="eastAsia" w:ascii="Times New Roman" w:hAnsi="Times New Roman" w:cs="Times New Roman"/>
          <w:spacing w:val="-11"/>
          <w:position w:val="-2"/>
          <w:lang w:eastAsia="zh-CN"/>
        </w:rPr>
        <w:t>人</w:t>
      </w:r>
      <w:r>
        <w:rPr>
          <w:rFonts w:hint="eastAsia" w:ascii="Times New Roman" w:hAnsi="Times New Roman" w:cs="Times New Roman"/>
          <w:spacing w:val="-33"/>
          <w:position w:val="-2"/>
          <w:lang w:eastAsia="zh-CN"/>
        </w:rPr>
        <w:t xml:space="preserve"> </w:t>
      </w:r>
      <w:r>
        <w:rPr>
          <w:rFonts w:hint="eastAsia" w:ascii="Times New Roman" w:hAnsi="Times New Roman" w:cs="Times New Roman"/>
          <w:spacing w:val="-11"/>
          <w:position w:val="-2"/>
          <w:lang w:eastAsia="zh-CN"/>
        </w:rPr>
        <w:t>民</w:t>
      </w:r>
      <w:r>
        <w:rPr>
          <w:rFonts w:hint="eastAsia" w:ascii="Times New Roman" w:hAnsi="Times New Roman" w:cs="Times New Roman"/>
          <w:spacing w:val="-53"/>
          <w:position w:val="-2"/>
          <w:lang w:eastAsia="zh-CN"/>
        </w:rPr>
        <w:t xml:space="preserve"> </w:t>
      </w:r>
      <w:r>
        <w:rPr>
          <w:rFonts w:hint="eastAsia" w:ascii="Times New Roman" w:hAnsi="Times New Roman" w:cs="Times New Roman"/>
          <w:spacing w:val="-11"/>
          <w:position w:val="-2"/>
          <w:lang w:eastAsia="zh-CN"/>
        </w:rPr>
        <w:t>共</w:t>
      </w:r>
      <w:r>
        <w:rPr>
          <w:rFonts w:hint="eastAsia" w:ascii="Times New Roman" w:hAnsi="Times New Roman" w:cs="Times New Roman"/>
          <w:spacing w:val="-53"/>
          <w:position w:val="-2"/>
          <w:lang w:eastAsia="zh-CN"/>
        </w:rPr>
        <w:t xml:space="preserve"> </w:t>
      </w:r>
      <w:r>
        <w:rPr>
          <w:rFonts w:hint="eastAsia" w:ascii="Times New Roman" w:hAnsi="Times New Roman" w:cs="Times New Roman"/>
          <w:spacing w:val="-11"/>
          <w:position w:val="-2"/>
          <w:lang w:eastAsia="zh-CN"/>
        </w:rPr>
        <w:t>和</w:t>
      </w:r>
      <w:r>
        <w:rPr>
          <w:rFonts w:hint="eastAsia" w:ascii="Times New Roman" w:hAnsi="Times New Roman" w:cs="Times New Roman"/>
          <w:spacing w:val="-36"/>
          <w:position w:val="-2"/>
          <w:lang w:eastAsia="zh-CN"/>
        </w:rPr>
        <w:t xml:space="preserve"> </w:t>
      </w:r>
      <w:r>
        <w:rPr>
          <w:rFonts w:hint="eastAsia" w:ascii="Times New Roman" w:hAnsi="Times New Roman" w:cs="Times New Roman"/>
          <w:spacing w:val="-11"/>
          <w:position w:val="-2"/>
          <w:lang w:eastAsia="zh-CN"/>
        </w:rPr>
        <w:t>国</w:t>
      </w:r>
      <w:r>
        <w:rPr>
          <w:rFonts w:hint="eastAsia" w:ascii="Times New Roman" w:hAnsi="Times New Roman" w:cs="Times New Roman"/>
          <w:spacing w:val="-33"/>
          <w:position w:val="-2"/>
          <w:lang w:eastAsia="zh-CN"/>
        </w:rPr>
        <w:t xml:space="preserve"> </w:t>
      </w:r>
      <w:r>
        <w:rPr>
          <w:rFonts w:hint="eastAsia" w:ascii="Times New Roman" w:hAnsi="Times New Roman" w:cs="Times New Roman"/>
          <w:spacing w:val="-11"/>
          <w:position w:val="-2"/>
          <w:lang w:eastAsia="zh-CN"/>
        </w:rPr>
        <w:t>国</w:t>
      </w:r>
      <w:r>
        <w:rPr>
          <w:rFonts w:hint="eastAsia" w:ascii="Times New Roman" w:hAnsi="Times New Roman" w:cs="Times New Roman"/>
          <w:spacing w:val="-52"/>
          <w:position w:val="-2"/>
          <w:lang w:eastAsia="zh-CN"/>
        </w:rPr>
        <w:t xml:space="preserve"> </w:t>
      </w:r>
      <w:r>
        <w:rPr>
          <w:rFonts w:hint="eastAsia" w:ascii="Times New Roman" w:hAnsi="Times New Roman" w:cs="Times New Roman"/>
          <w:spacing w:val="-11"/>
          <w:position w:val="-2"/>
          <w:lang w:eastAsia="zh-CN"/>
        </w:rPr>
        <w:t>家</w:t>
      </w:r>
      <w:r>
        <w:rPr>
          <w:rFonts w:hint="eastAsia" w:ascii="Times New Roman" w:hAnsi="Times New Roman" w:cs="Times New Roman"/>
          <w:spacing w:val="-55"/>
          <w:position w:val="-2"/>
          <w:lang w:eastAsia="zh-CN"/>
        </w:rPr>
        <w:t xml:space="preserve"> </w:t>
      </w:r>
      <w:r>
        <w:rPr>
          <w:rFonts w:hint="eastAsia" w:ascii="Times New Roman" w:hAnsi="Times New Roman" w:cs="Times New Roman"/>
          <w:spacing w:val="-11"/>
          <w:position w:val="-2"/>
          <w:lang w:eastAsia="zh-CN"/>
        </w:rPr>
        <w:t>卫</w:t>
      </w:r>
      <w:r>
        <w:rPr>
          <w:rFonts w:hint="eastAsia" w:ascii="Times New Roman" w:hAnsi="Times New Roman" w:cs="Times New Roman"/>
          <w:spacing w:val="-60"/>
          <w:position w:val="-2"/>
          <w:lang w:eastAsia="zh-CN"/>
        </w:rPr>
        <w:t xml:space="preserve"> </w:t>
      </w:r>
      <w:r>
        <w:rPr>
          <w:rFonts w:hint="eastAsia" w:ascii="Times New Roman" w:hAnsi="Times New Roman" w:cs="Times New Roman"/>
          <w:spacing w:val="-11"/>
          <w:position w:val="-2"/>
          <w:lang w:eastAsia="zh-CN"/>
        </w:rPr>
        <w:t>生</w:t>
      </w:r>
      <w:r>
        <w:rPr>
          <w:rFonts w:hint="eastAsia" w:ascii="Times New Roman" w:hAnsi="Times New Roman" w:cs="Times New Roman"/>
          <w:spacing w:val="-56"/>
          <w:position w:val="-2"/>
          <w:lang w:eastAsia="zh-CN"/>
        </w:rPr>
        <w:t xml:space="preserve"> </w:t>
      </w:r>
      <w:r>
        <w:rPr>
          <w:rFonts w:hint="eastAsia" w:ascii="Times New Roman" w:hAnsi="Times New Roman" w:cs="Times New Roman"/>
          <w:spacing w:val="-11"/>
          <w:position w:val="-2"/>
          <w:lang w:eastAsia="zh-CN"/>
        </w:rPr>
        <w:t>健</w:t>
      </w:r>
      <w:r>
        <w:rPr>
          <w:rFonts w:hint="eastAsia" w:ascii="Times New Roman" w:hAnsi="Times New Roman" w:cs="Times New Roman"/>
          <w:spacing w:val="-60"/>
          <w:position w:val="-2"/>
          <w:lang w:eastAsia="zh-CN"/>
        </w:rPr>
        <w:t xml:space="preserve"> </w:t>
      </w:r>
      <w:r>
        <w:rPr>
          <w:rFonts w:hint="eastAsia" w:ascii="Times New Roman" w:hAnsi="Times New Roman" w:cs="Times New Roman"/>
          <w:spacing w:val="-11"/>
          <w:position w:val="-2"/>
          <w:lang w:eastAsia="zh-CN"/>
        </w:rPr>
        <w:t>康</w:t>
      </w:r>
      <w:r>
        <w:rPr>
          <w:rFonts w:hint="eastAsia" w:ascii="Times New Roman" w:hAnsi="Times New Roman" w:cs="Times New Roman"/>
          <w:spacing w:val="-51"/>
          <w:position w:val="-2"/>
          <w:lang w:eastAsia="zh-CN"/>
        </w:rPr>
        <w:t xml:space="preserve"> </w:t>
      </w:r>
      <w:r>
        <w:rPr>
          <w:rFonts w:hint="eastAsia" w:ascii="Times New Roman" w:hAnsi="Times New Roman" w:cs="Times New Roman"/>
          <w:spacing w:val="-11"/>
          <w:position w:val="-2"/>
          <w:lang w:eastAsia="zh-CN"/>
        </w:rPr>
        <w:t>委员会</w:t>
      </w:r>
      <w:r>
        <w:rPr>
          <w:rFonts w:hint="eastAsia" w:ascii="Times New Roman" w:hAnsi="Times New Roman" w:cs="Times New Roman"/>
          <w:spacing w:val="7"/>
          <w:position w:val="-2"/>
          <w:lang w:eastAsia="zh-CN"/>
        </w:rPr>
        <w:t xml:space="preserve">      </w:t>
      </w:r>
      <w:r>
        <w:rPr>
          <w:rFonts w:hint="eastAsia" w:ascii="Times New Roman" w:hAnsi="Times New Roman" w:cs="Times New Roman"/>
          <w:spacing w:val="-11"/>
          <w:position w:val="-2"/>
          <w:lang w:eastAsia="zh-CN"/>
        </w:rPr>
        <w:t>发</w:t>
      </w:r>
      <w:r>
        <w:rPr>
          <w:rFonts w:hint="eastAsia" w:ascii="Times New Roman" w:hAnsi="Times New Roman" w:cs="Times New Roman"/>
          <w:spacing w:val="-55"/>
          <w:position w:val="-2"/>
          <w:lang w:eastAsia="zh-CN"/>
        </w:rPr>
        <w:t xml:space="preserve"> </w:t>
      </w:r>
      <w:r>
        <w:rPr>
          <w:rFonts w:hint="eastAsia" w:ascii="Times New Roman" w:hAnsi="Times New Roman" w:cs="Times New Roman"/>
          <w:spacing w:val="-11"/>
          <w:position w:val="-2"/>
          <w:lang w:eastAsia="zh-CN"/>
        </w:rPr>
        <w:t>布</w:t>
      </w:r>
      <w:bookmarkEnd w:id="0"/>
    </w:p>
    <w:p w14:paraId="33F4B056">
      <w:pPr>
        <w:pStyle w:val="20"/>
        <w:numPr>
          <w:ilvl w:val="0"/>
          <w:numId w:val="0"/>
        </w:numPr>
        <w:rPr>
          <w:rFonts w:ascii="Times New Roman"/>
          <w:highlight w:val="yellow"/>
        </w:rPr>
      </w:pPr>
      <w:r>
        <w:rPr>
          <w:rFonts w:hint="eastAsia" w:ascii="Times New Roman"/>
        </w:rPr>
        <w:t>前    言</w:t>
      </w:r>
    </w:p>
    <w:p w14:paraId="7565CB39">
      <w:pPr>
        <w:pStyle w:val="19"/>
        <w:overflowPunct w:val="0"/>
        <w:autoSpaceDE/>
        <w:autoSpaceDN/>
        <w:ind w:firstLine="438"/>
        <w:rPr>
          <w:rFonts w:ascii="Times New Roman"/>
          <w:spacing w:val="9"/>
          <w:szCs w:val="21"/>
        </w:rPr>
      </w:pPr>
      <w:r>
        <w:rPr>
          <w:rFonts w:hint="eastAsia" w:ascii="Times New Roman"/>
          <w:spacing w:val="9"/>
          <w:szCs w:val="21"/>
        </w:rPr>
        <w:t>本标准替代WS/T 7-1996《产气荚膜梭菌食物中毒诊断标准及处理原则》。</w:t>
      </w:r>
    </w:p>
    <w:p w14:paraId="03A2BA25">
      <w:pPr>
        <w:pStyle w:val="19"/>
        <w:overflowPunct w:val="0"/>
        <w:autoSpaceDE/>
        <w:autoSpaceDN/>
        <w:ind w:firstLine="438"/>
        <w:rPr>
          <w:rFonts w:ascii="Times New Roman"/>
          <w:spacing w:val="9"/>
          <w:szCs w:val="21"/>
        </w:rPr>
      </w:pPr>
      <w:r>
        <w:rPr>
          <w:rFonts w:hint="eastAsia" w:ascii="Times New Roman"/>
          <w:spacing w:val="9"/>
          <w:szCs w:val="21"/>
        </w:rPr>
        <w:t>本标准与</w:t>
      </w:r>
      <w:r>
        <w:rPr>
          <w:rFonts w:ascii="Times New Roman"/>
          <w:spacing w:val="9"/>
          <w:szCs w:val="21"/>
        </w:rPr>
        <w:t>WS/T 7-1996</w:t>
      </w:r>
      <w:r>
        <w:rPr>
          <w:rFonts w:hint="eastAsia" w:ascii="Times New Roman"/>
          <w:spacing w:val="9"/>
          <w:szCs w:val="21"/>
        </w:rPr>
        <w:t>相比，主要技术指标变化如下：</w:t>
      </w:r>
    </w:p>
    <w:p w14:paraId="2E412393">
      <w:pPr>
        <w:pStyle w:val="19"/>
        <w:overflowPunct w:val="0"/>
        <w:autoSpaceDE/>
        <w:autoSpaceDN/>
        <w:ind w:firstLine="438"/>
        <w:rPr>
          <w:rFonts w:ascii="Times New Roman"/>
          <w:spacing w:val="9"/>
          <w:szCs w:val="21"/>
        </w:rPr>
      </w:pPr>
      <w:r>
        <w:rPr>
          <w:rFonts w:hint="eastAsia" w:ascii="Times New Roman"/>
          <w:spacing w:val="9"/>
          <w:szCs w:val="21"/>
        </w:rPr>
        <w:t>——修改了流行病学特点</w:t>
      </w:r>
    </w:p>
    <w:p w14:paraId="04FD138F">
      <w:pPr>
        <w:pStyle w:val="19"/>
        <w:overflowPunct w:val="0"/>
        <w:autoSpaceDE/>
        <w:autoSpaceDN/>
        <w:ind w:firstLine="438"/>
        <w:rPr>
          <w:rFonts w:ascii="Times New Roman"/>
          <w:spacing w:val="9"/>
          <w:szCs w:val="21"/>
        </w:rPr>
      </w:pPr>
      <w:r>
        <w:rPr>
          <w:rFonts w:hint="eastAsia" w:ascii="Times New Roman"/>
          <w:spacing w:val="9"/>
          <w:szCs w:val="21"/>
        </w:rPr>
        <w:t>——修改了临床表现</w:t>
      </w:r>
    </w:p>
    <w:p w14:paraId="74F52233">
      <w:pPr>
        <w:pStyle w:val="19"/>
        <w:overflowPunct w:val="0"/>
        <w:autoSpaceDE/>
        <w:autoSpaceDN/>
        <w:ind w:firstLine="438"/>
        <w:rPr>
          <w:rFonts w:ascii="Times New Roman"/>
          <w:spacing w:val="9"/>
          <w:szCs w:val="21"/>
        </w:rPr>
      </w:pPr>
      <w:r>
        <w:rPr>
          <w:rFonts w:hint="eastAsia" w:ascii="Times New Roman"/>
          <w:spacing w:val="9"/>
          <w:szCs w:val="21"/>
        </w:rPr>
        <w:t>——修改了实验室诊断</w:t>
      </w:r>
    </w:p>
    <w:p w14:paraId="63E2557C">
      <w:pPr>
        <w:pStyle w:val="19"/>
        <w:overflowPunct w:val="0"/>
        <w:autoSpaceDE/>
        <w:autoSpaceDN/>
        <w:ind w:firstLine="438"/>
        <w:rPr>
          <w:rFonts w:ascii="Times New Roman"/>
          <w:spacing w:val="9"/>
          <w:szCs w:val="21"/>
        </w:rPr>
      </w:pPr>
      <w:r>
        <w:rPr>
          <w:rFonts w:hint="eastAsia" w:ascii="Times New Roman"/>
          <w:spacing w:val="9"/>
          <w:szCs w:val="21"/>
        </w:rPr>
        <w:t>——修改了判定原则</w:t>
      </w:r>
    </w:p>
    <w:p w14:paraId="3EA693A0">
      <w:pPr>
        <w:pStyle w:val="19"/>
        <w:overflowPunct w:val="0"/>
        <w:autoSpaceDE/>
        <w:autoSpaceDN/>
        <w:ind w:firstLine="438"/>
        <w:rPr>
          <w:rFonts w:ascii="Times New Roman"/>
          <w:spacing w:val="9"/>
          <w:szCs w:val="21"/>
        </w:rPr>
      </w:pPr>
      <w:r>
        <w:rPr>
          <w:rFonts w:hint="eastAsia" w:ascii="Times New Roman"/>
          <w:spacing w:val="9"/>
          <w:szCs w:val="21"/>
        </w:rPr>
        <w:t>——修改了处理原则</w:t>
      </w:r>
    </w:p>
    <w:p w14:paraId="11ECDF37">
      <w:pPr>
        <w:pStyle w:val="19"/>
        <w:overflowPunct w:val="0"/>
        <w:autoSpaceDE/>
        <w:autoSpaceDN/>
        <w:ind w:firstLine="438"/>
        <w:rPr>
          <w:rFonts w:ascii="Times New Roman"/>
          <w:spacing w:val="9"/>
          <w:szCs w:val="21"/>
        </w:rPr>
      </w:pPr>
      <w:r>
        <w:rPr>
          <w:rFonts w:hint="eastAsia" w:ascii="Times New Roman"/>
          <w:spacing w:val="9"/>
          <w:szCs w:val="21"/>
        </w:rPr>
        <w:t>——删除了附录</w:t>
      </w:r>
      <w:r>
        <w:rPr>
          <w:rFonts w:ascii="Times New Roman"/>
          <w:spacing w:val="9"/>
          <w:szCs w:val="21"/>
        </w:rPr>
        <w:t>A</w:t>
      </w:r>
      <w:r>
        <w:rPr>
          <w:rFonts w:hint="eastAsia" w:ascii="Times New Roman"/>
          <w:spacing w:val="9"/>
          <w:szCs w:val="21"/>
        </w:rPr>
        <w:t>样品中产气荚膜梭菌毒素检验</w:t>
      </w:r>
    </w:p>
    <w:p w14:paraId="02C83DEA">
      <w:pPr>
        <w:pStyle w:val="19"/>
        <w:overflowPunct w:val="0"/>
        <w:autoSpaceDE/>
        <w:autoSpaceDN/>
        <w:ind w:firstLine="438"/>
        <w:rPr>
          <w:rFonts w:ascii="Times New Roman"/>
          <w:spacing w:val="9"/>
          <w:szCs w:val="21"/>
        </w:rPr>
      </w:pPr>
      <w:r>
        <w:rPr>
          <w:rFonts w:hint="eastAsia" w:ascii="Times New Roman"/>
          <w:spacing w:val="9"/>
          <w:szCs w:val="21"/>
        </w:rPr>
        <w:t>——删除了附录</w:t>
      </w:r>
      <w:r>
        <w:rPr>
          <w:rFonts w:ascii="Times New Roman"/>
          <w:spacing w:val="9"/>
          <w:szCs w:val="21"/>
        </w:rPr>
        <w:t>B</w:t>
      </w:r>
      <w:r>
        <w:rPr>
          <w:rFonts w:hint="eastAsia" w:ascii="Times New Roman"/>
          <w:spacing w:val="9"/>
          <w:szCs w:val="21"/>
        </w:rPr>
        <w:t>培养分离株检查肠毒素</w:t>
      </w:r>
    </w:p>
    <w:p w14:paraId="300E60C8">
      <w:pPr>
        <w:pStyle w:val="19"/>
        <w:overflowPunct w:val="0"/>
        <w:autoSpaceDE/>
        <w:autoSpaceDN/>
        <w:ind w:firstLine="438"/>
        <w:rPr>
          <w:rFonts w:ascii="Times New Roman"/>
          <w:spacing w:val="9"/>
          <w:szCs w:val="21"/>
        </w:rPr>
      </w:pPr>
      <w:r>
        <w:rPr>
          <w:rFonts w:hint="eastAsia" w:ascii="Times New Roman"/>
          <w:spacing w:val="9"/>
          <w:szCs w:val="21"/>
        </w:rPr>
        <w:t>——增加了</w:t>
      </w:r>
      <w:r>
        <w:rPr>
          <w:rFonts w:ascii="Times New Roman"/>
        </w:rPr>
        <w:t>附录A</w:t>
      </w:r>
      <w:r>
        <w:rPr>
          <w:rFonts w:hint="eastAsia" w:ascii="Times New Roman"/>
          <w:spacing w:val="9"/>
          <w:szCs w:val="21"/>
        </w:rPr>
        <w:t>粪便或肛拭子标本产气荚膜梭菌定性培养方法</w:t>
      </w:r>
    </w:p>
    <w:p w14:paraId="7C82A258">
      <w:pPr>
        <w:pStyle w:val="19"/>
        <w:overflowPunct w:val="0"/>
        <w:autoSpaceDE/>
        <w:autoSpaceDN/>
        <w:ind w:firstLine="438"/>
        <w:rPr>
          <w:rFonts w:ascii="Times New Roman"/>
          <w:spacing w:val="9"/>
          <w:szCs w:val="21"/>
        </w:rPr>
      </w:pPr>
      <w:r>
        <w:rPr>
          <w:rFonts w:hint="eastAsia" w:ascii="Times New Roman"/>
          <w:spacing w:val="9"/>
          <w:szCs w:val="21"/>
        </w:rPr>
        <w:t>——增加了</w:t>
      </w:r>
      <w:r>
        <w:rPr>
          <w:rFonts w:ascii="Times New Roman"/>
        </w:rPr>
        <w:t>附录B</w:t>
      </w:r>
      <w:r>
        <w:rPr>
          <w:rFonts w:hint="eastAsia" w:ascii="Times New Roman"/>
          <w:spacing w:val="9"/>
          <w:szCs w:val="21"/>
        </w:rPr>
        <w:t>产气荚膜梭菌plc 基因和 cpe基因的实时荧光PCR方法</w:t>
      </w:r>
    </w:p>
    <w:p w14:paraId="121ABCBD">
      <w:pPr>
        <w:pStyle w:val="19"/>
        <w:overflowPunct w:val="0"/>
        <w:autoSpaceDE/>
        <w:autoSpaceDN/>
        <w:ind w:firstLine="438"/>
        <w:rPr>
          <w:rFonts w:ascii="Times New Roman"/>
        </w:rPr>
      </w:pPr>
      <w:r>
        <w:rPr>
          <w:rFonts w:hint="eastAsia" w:ascii="Times New Roman"/>
          <w:spacing w:val="9"/>
          <w:szCs w:val="21"/>
        </w:rPr>
        <w:t>本标准由中华人民共和国国家卫生健康委员会提出并归口。</w:t>
      </w:r>
    </w:p>
    <w:p w14:paraId="2799FE57">
      <w:pPr>
        <w:pStyle w:val="19"/>
        <w:overflowPunct w:val="0"/>
        <w:autoSpaceDE/>
        <w:autoSpaceDN/>
        <w:ind w:firstLine="438"/>
        <w:rPr>
          <w:rFonts w:ascii="Times New Roman"/>
        </w:rPr>
      </w:pPr>
      <w:r>
        <w:rPr>
          <w:rFonts w:hint="eastAsia" w:ascii="Times New Roman"/>
          <w:spacing w:val="9"/>
          <w:szCs w:val="21"/>
        </w:rPr>
        <w:t>本标准由中华人民共和国国家卫生健康委员会负责解释。</w:t>
      </w:r>
    </w:p>
    <w:p w14:paraId="6898821C">
      <w:pPr>
        <w:pStyle w:val="19"/>
        <w:spacing w:line="320" w:lineRule="exact"/>
        <w:ind w:firstLine="420"/>
        <w:rPr>
          <w:rFonts w:ascii="Times New Roman"/>
        </w:rPr>
      </w:pPr>
      <w:r>
        <w:rPr>
          <w:rFonts w:ascii="Times New Roman"/>
        </w:rPr>
        <w:t>本标准起草单位：</w:t>
      </w:r>
      <w:r>
        <w:rPr>
          <w:rFonts w:hint="eastAsia" w:ascii="Times New Roman"/>
        </w:rPr>
        <w:t>XXX、XXX、XXX</w:t>
      </w:r>
      <w:r>
        <w:rPr>
          <w:rFonts w:ascii="Times New Roman"/>
          <w:color w:val="000000"/>
        </w:rPr>
        <w:t>.</w:t>
      </w:r>
      <w:r>
        <w:rPr>
          <w:rFonts w:hint="eastAsia" w:ascii="Times New Roman"/>
          <w:color w:val="000000"/>
        </w:rPr>
        <w:t>.</w:t>
      </w:r>
      <w:r>
        <w:rPr>
          <w:rFonts w:ascii="Times New Roman"/>
          <w:color w:val="000000"/>
        </w:rPr>
        <w:t>....</w:t>
      </w:r>
      <w:r>
        <w:rPr>
          <w:rFonts w:ascii="Times New Roman"/>
        </w:rPr>
        <w:t>。</w:t>
      </w:r>
    </w:p>
    <w:p w14:paraId="2937BC63">
      <w:pPr>
        <w:pStyle w:val="19"/>
        <w:spacing w:line="320" w:lineRule="exact"/>
        <w:ind w:firstLine="420"/>
        <w:rPr>
          <w:rFonts w:ascii="Times New Roman"/>
        </w:rPr>
        <w:sectPr>
          <w:headerReference r:id="rId4" w:type="default"/>
          <w:pgSz w:w="11906" w:h="16838"/>
          <w:pgMar w:top="1440" w:right="1800" w:bottom="1440" w:left="1800" w:header="1750" w:footer="0" w:gutter="0"/>
          <w:cols w:space="720" w:num="1"/>
          <w:docGrid w:linePitch="286" w:charSpace="0"/>
        </w:sectPr>
      </w:pPr>
      <w:r>
        <w:rPr>
          <w:rFonts w:ascii="Times New Roman"/>
        </w:rPr>
        <w:t>本标准主要起草人：</w:t>
      </w:r>
      <w:r>
        <w:rPr>
          <w:rFonts w:ascii="Times New Roman"/>
          <w:color w:val="000000"/>
        </w:rPr>
        <w:t>XXX、XXX、XXX.</w:t>
      </w:r>
      <w:r>
        <w:rPr>
          <w:rFonts w:hint="eastAsia" w:ascii="Times New Roman"/>
          <w:color w:val="000000"/>
        </w:rPr>
        <w:t>.</w:t>
      </w:r>
      <w:r>
        <w:rPr>
          <w:rFonts w:ascii="Times New Roman"/>
          <w:color w:val="000000"/>
        </w:rPr>
        <w:t>....</w:t>
      </w:r>
      <w:r>
        <w:rPr>
          <w:rFonts w:ascii="Times New Roman"/>
        </w:rPr>
        <w:t>。</w:t>
      </w:r>
    </w:p>
    <w:p w14:paraId="496CDE1C">
      <w:pPr>
        <w:pStyle w:val="4"/>
        <w:kinsoku/>
        <w:overflowPunct w:val="0"/>
        <w:autoSpaceDE/>
        <w:autoSpaceDN/>
        <w:spacing w:before="160" w:line="360" w:lineRule="auto"/>
        <w:jc w:val="center"/>
        <w:rPr>
          <w:rFonts w:ascii="Times New Roman" w:hAnsi="Times New Roman" w:eastAsia="黑体" w:cs="Times New Roman"/>
          <w:snapToGrid/>
          <w:sz w:val="32"/>
          <w:szCs w:val="32"/>
          <w:lang w:eastAsia="zh-CN"/>
        </w:rPr>
      </w:pPr>
      <w:bookmarkStart w:id="1" w:name="OLE_LINK11"/>
      <w:r>
        <w:rPr>
          <w:rFonts w:hint="eastAsia" w:ascii="Times New Roman" w:hAnsi="Times New Roman" w:eastAsia="黑体" w:cs="Times New Roman"/>
          <w:snapToGrid/>
          <w:sz w:val="32"/>
          <w:szCs w:val="32"/>
          <w:lang w:eastAsia="zh-CN"/>
        </w:rPr>
        <w:t>食源性产气荚膜梭菌病判定标准及技术处理原则</w:t>
      </w:r>
    </w:p>
    <w:bookmarkEnd w:id="1"/>
    <w:p w14:paraId="783DDED2">
      <w:pPr>
        <w:widowControl w:val="0"/>
        <w:adjustRightInd/>
        <w:snapToGrid/>
        <w:spacing w:before="240" w:beforeLines="100" w:after="240" w:afterLines="100"/>
        <w:jc w:val="both"/>
        <w:textAlignment w:val="auto"/>
        <w:outlineLvl w:val="0"/>
        <w:rPr>
          <w:rFonts w:ascii="黑体" w:hAnsi="黑体" w:eastAsia="黑体" w:cs="黑体"/>
          <w:bCs/>
          <w:snapToGrid/>
          <w:spacing w:val="-6"/>
          <w:kern w:val="2"/>
          <w:lang w:eastAsia="zh-CN"/>
        </w:rPr>
      </w:pPr>
      <w:r>
        <w:rPr>
          <w:rFonts w:hint="eastAsia" w:ascii="黑体" w:hAnsi="黑体" w:eastAsia="黑体" w:cs="黑体"/>
          <w:bCs/>
          <w:snapToGrid/>
          <w:spacing w:val="-6"/>
          <w:kern w:val="2"/>
          <w:lang w:eastAsia="zh-CN"/>
        </w:rPr>
        <w:t>1 范围</w:t>
      </w:r>
    </w:p>
    <w:p w14:paraId="060453EC">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本标准规定了食源性产气荚膜梭菌病（</w:t>
      </w:r>
      <w:r>
        <w:rPr>
          <w:rFonts w:ascii="Times New Roman" w:hAnsi="Times New Roman" w:eastAsia="宋体" w:cs="Times New Roman"/>
          <w:lang w:eastAsia="zh-CN"/>
        </w:rPr>
        <w:t xml:space="preserve">foodborne </w:t>
      </w:r>
      <w:r>
        <w:rPr>
          <w:rFonts w:ascii="Times New Roman" w:hAnsi="Times New Roman" w:eastAsia="宋体" w:cs="Times New Roman"/>
          <w:i/>
          <w:iCs/>
          <w:lang w:eastAsia="zh-CN"/>
        </w:rPr>
        <w:t>Clostridium perfringens</w:t>
      </w:r>
      <w:r>
        <w:rPr>
          <w:rFonts w:ascii="Times New Roman" w:hAnsi="Times New Roman" w:eastAsia="宋体" w:cs="Times New Roman"/>
          <w:lang w:eastAsia="zh-CN"/>
        </w:rPr>
        <w:t xml:space="preserve"> disease</w:t>
      </w:r>
      <w:r>
        <w:rPr>
          <w:rFonts w:hint="eastAsia" w:ascii="Times New Roman" w:hAnsi="Times New Roman" w:eastAsia="宋体" w:cs="Times New Roman"/>
          <w:lang w:eastAsia="zh-CN"/>
        </w:rPr>
        <w:t>）的判定标准和技术处理原则。</w:t>
      </w:r>
    </w:p>
    <w:p w14:paraId="0ECD8CED">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本标准适用于食源性产气荚膜梭菌病病例及其暴发事件的判定与处理。</w:t>
      </w:r>
    </w:p>
    <w:p w14:paraId="0CAF4FDF">
      <w:pPr>
        <w:widowControl w:val="0"/>
        <w:adjustRightInd/>
        <w:snapToGrid/>
        <w:spacing w:before="240" w:beforeLines="100" w:after="240" w:afterLines="100"/>
        <w:jc w:val="both"/>
        <w:textAlignment w:val="auto"/>
        <w:rPr>
          <w:rFonts w:ascii="黑体" w:hAnsi="黑体" w:eastAsia="黑体" w:cs="黑体"/>
          <w:bCs/>
          <w:snapToGrid/>
          <w:spacing w:val="-6"/>
          <w:kern w:val="2"/>
          <w:lang w:eastAsia="zh-CN"/>
        </w:rPr>
      </w:pPr>
      <w:r>
        <w:rPr>
          <w:rFonts w:hint="eastAsia" w:ascii="黑体" w:hAnsi="黑体" w:eastAsia="黑体" w:cs="黑体"/>
          <w:bCs/>
          <w:snapToGrid/>
          <w:spacing w:val="-6"/>
          <w:kern w:val="2"/>
          <w:lang w:eastAsia="zh-CN"/>
        </w:rPr>
        <w:t xml:space="preserve">2 </w:t>
      </w:r>
      <w:bookmarkStart w:id="2" w:name="OLE_LINK3"/>
      <w:r>
        <w:rPr>
          <w:rFonts w:hint="eastAsia" w:ascii="黑体" w:hAnsi="黑体" w:eastAsia="黑体" w:cs="黑体"/>
          <w:bCs/>
          <w:snapToGrid/>
          <w:spacing w:val="-6"/>
          <w:kern w:val="2"/>
          <w:lang w:eastAsia="zh-CN"/>
        </w:rPr>
        <w:t>规范性引用文件</w:t>
      </w:r>
    </w:p>
    <w:p w14:paraId="07CF49A1">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下列文件中的条款通过本标准的引用而成为本标准的条款。凡是注日期的引用文件，其随后所有的修改单（不包括勘误的内容）或修订版均不适用于本标准，凡是不注日期的引用文件，其最新版本适用于本标准。</w:t>
      </w:r>
    </w:p>
    <w:p w14:paraId="5ED25456">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GB 4789.1 食品安全国家标准 食品微生物学检验 总则。</w:t>
      </w:r>
    </w:p>
    <w:p w14:paraId="2A92394B">
      <w:pPr>
        <w:kinsoku/>
        <w:autoSpaceDE/>
        <w:autoSpaceDN/>
        <w:spacing w:after="0" w:line="320" w:lineRule="exact"/>
        <w:ind w:firstLine="420" w:firstLineChars="200"/>
        <w:rPr>
          <w:rFonts w:ascii="Times New Roman" w:hAnsi="Times New Roman" w:eastAsia="宋体" w:cs="Times New Roman"/>
          <w:lang w:eastAsia="zh-CN"/>
        </w:rPr>
      </w:pPr>
      <w:r>
        <w:rPr>
          <w:rFonts w:ascii="Times New Roman" w:hAnsi="Times New Roman" w:eastAsia="宋体"/>
          <w:lang w:eastAsia="zh-CN"/>
        </w:rPr>
        <w:t>GB 4789.13  食品安全国家标准 食品微生物学检验  产气荚膜梭菌</w:t>
      </w:r>
      <w:r>
        <w:rPr>
          <w:rFonts w:hint="eastAsia" w:ascii="Times New Roman" w:hAnsi="Times New Roman" w:eastAsia="宋体" w:cs="Times New Roman"/>
          <w:lang w:eastAsia="zh-CN"/>
        </w:rPr>
        <w:t>检验。</w:t>
      </w:r>
    </w:p>
    <w:p w14:paraId="355EF11C">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GB 4789.28  食品安全国家标准 食品微生物学检验  培养基和试剂的质量要求。</w:t>
      </w:r>
    </w:p>
    <w:p w14:paraId="3761FD3C">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GB 19489   实验室生物安全通用要求。</w:t>
      </w:r>
    </w:p>
    <w:p w14:paraId="1F0E4EEC">
      <w:pPr>
        <w:kinsoku/>
        <w:autoSpaceDE/>
        <w:autoSpaceDN/>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WS/T XXX.XXX  食源性疾病诊断标准及技术处理总则。</w:t>
      </w:r>
    </w:p>
    <w:bookmarkEnd w:id="2"/>
    <w:p w14:paraId="1EF74462">
      <w:pPr>
        <w:widowControl w:val="0"/>
        <w:adjustRightInd/>
        <w:snapToGrid/>
        <w:spacing w:before="240" w:beforeLines="100" w:after="240" w:afterLines="100"/>
        <w:contextualSpacing/>
        <w:jc w:val="both"/>
        <w:textAlignment w:val="auto"/>
        <w:rPr>
          <w:rFonts w:ascii="黑体" w:hAnsi="黑体" w:eastAsia="黑体" w:cs="黑体"/>
          <w:bCs/>
          <w:snapToGrid/>
          <w:spacing w:val="-6"/>
          <w:kern w:val="2"/>
          <w:lang w:eastAsia="zh-CN"/>
        </w:rPr>
      </w:pPr>
    </w:p>
    <w:p w14:paraId="7B2232F7">
      <w:pPr>
        <w:widowControl w:val="0"/>
        <w:adjustRightInd/>
        <w:snapToGrid/>
        <w:spacing w:before="240" w:beforeLines="100" w:after="240" w:afterLines="100"/>
        <w:contextualSpacing/>
        <w:jc w:val="both"/>
        <w:textAlignment w:val="auto"/>
        <w:rPr>
          <w:rFonts w:ascii="黑体" w:hAnsi="黑体" w:eastAsia="黑体" w:cs="黑体"/>
          <w:bCs/>
          <w:snapToGrid/>
          <w:kern w:val="2"/>
          <w:lang w:eastAsia="zh-CN"/>
        </w:rPr>
      </w:pPr>
      <w:r>
        <w:rPr>
          <w:rFonts w:hint="eastAsia" w:ascii="黑体" w:hAnsi="黑体" w:eastAsia="黑体" w:cs="黑体"/>
          <w:bCs/>
          <w:snapToGrid/>
          <w:spacing w:val="-6"/>
          <w:kern w:val="2"/>
          <w:lang w:eastAsia="zh-CN"/>
        </w:rPr>
        <w:t>3 诊断</w:t>
      </w:r>
    </w:p>
    <w:p w14:paraId="7828AA4F">
      <w:pPr>
        <w:kinsoku/>
        <w:autoSpaceDE/>
        <w:autoSpaceDN/>
        <w:spacing w:after="0" w:line="320" w:lineRule="exact"/>
        <w:rPr>
          <w:rFonts w:ascii="黑体" w:hAnsi="黑体" w:eastAsia="黑体" w:cs="黑体"/>
          <w:lang w:eastAsia="zh-CN"/>
        </w:rPr>
      </w:pPr>
      <w:bookmarkStart w:id="3" w:name="OLE_LINK5"/>
    </w:p>
    <w:p w14:paraId="28BCEB92">
      <w:pPr>
        <w:kinsoku/>
        <w:autoSpaceDE/>
        <w:autoSpaceDN/>
        <w:spacing w:after="0" w:line="320" w:lineRule="exact"/>
        <w:rPr>
          <w:rFonts w:ascii="黑体" w:hAnsi="黑体" w:eastAsia="黑体" w:cs="黑体"/>
          <w:lang w:eastAsia="zh-CN"/>
        </w:rPr>
      </w:pPr>
      <w:r>
        <w:rPr>
          <w:rFonts w:hint="eastAsia" w:ascii="黑体" w:hAnsi="黑体" w:eastAsia="黑体" w:cs="黑体"/>
          <w:lang w:eastAsia="zh-CN"/>
        </w:rPr>
        <w:t>3.1流行病学特点</w:t>
      </w:r>
    </w:p>
    <w:p w14:paraId="52E7338D">
      <w:pPr>
        <w:kinsoku/>
        <w:autoSpaceDE/>
        <w:autoSpaceDN/>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3.1.1 发病季节：一年四季均可发生，夏、秋季节高发。</w:t>
      </w:r>
    </w:p>
    <w:p w14:paraId="4C3A4DE9">
      <w:pPr>
        <w:kinsoku/>
        <w:autoSpaceDE/>
        <w:autoSpaceDN/>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3.1.2 发病原因：食用被产气荚膜梭菌污染且大量繁殖的食品，常见原因包括食品烹饪不充分、冷却或储存方式不当且再次食用时未进行彻底加热。</w:t>
      </w:r>
    </w:p>
    <w:p w14:paraId="32BA165D">
      <w:pPr>
        <w:kinsoku/>
        <w:autoSpaceDE/>
        <w:autoSpaceDN/>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3.1.3 致病食品：主要为动物性食品和植物蛋白性食品，经批量烹饪的畜禽肉类菜肴及其汤汁最为常见。</w:t>
      </w:r>
    </w:p>
    <w:p w14:paraId="6757707F">
      <w:pPr>
        <w:kinsoku/>
        <w:autoSpaceDE/>
        <w:autoSpaceDN/>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3.1.4 易感人群：普遍易感，集体用餐者高发。</w:t>
      </w:r>
    </w:p>
    <w:bookmarkEnd w:id="3"/>
    <w:p w14:paraId="4F15ABAA">
      <w:pPr>
        <w:kinsoku/>
        <w:autoSpaceDE/>
        <w:autoSpaceDN/>
        <w:spacing w:after="0" w:line="320" w:lineRule="exact"/>
        <w:rPr>
          <w:rFonts w:ascii="黑体" w:hAnsi="黑体" w:eastAsia="黑体" w:cs="黑体"/>
          <w:lang w:eastAsia="zh-CN"/>
        </w:rPr>
      </w:pPr>
      <w:r>
        <w:rPr>
          <w:rFonts w:hint="eastAsia" w:ascii="黑体" w:hAnsi="黑体" w:eastAsia="黑体" w:cs="黑体"/>
          <w:lang w:eastAsia="zh-CN"/>
        </w:rPr>
        <w:t>3.2  临床表现</w:t>
      </w:r>
    </w:p>
    <w:p w14:paraId="663153BE">
      <w:pPr>
        <w:kinsoku/>
        <w:autoSpaceDE/>
        <w:autoSpaceDN/>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3.2.1潜伏期：通常为</w:t>
      </w:r>
      <w:r>
        <w:rPr>
          <w:rFonts w:ascii="Times New Roman" w:hAnsi="Times New Roman" w:eastAsia="宋体" w:cs="Times New Roman"/>
          <w:lang w:eastAsia="zh-CN"/>
        </w:rPr>
        <w:t>6 h~2</w:t>
      </w:r>
      <w:r>
        <w:rPr>
          <w:rFonts w:ascii="Times New Roman" w:hAnsi="Times New Roman" w:eastAsia="宋体" w:cs="Times New Roman"/>
          <w:snapToGrid/>
          <w:kern w:val="2"/>
          <w:lang w:eastAsia="zh-CN"/>
        </w:rPr>
        <w:t>4 h</w:t>
      </w:r>
      <w:r>
        <w:rPr>
          <w:rFonts w:hint="eastAsia" w:ascii="Times New Roman" w:hAnsi="Times New Roman" w:eastAsia="宋体" w:cs="Times New Roman"/>
          <w:snapToGrid/>
          <w:kern w:val="2"/>
          <w:lang w:eastAsia="zh-CN"/>
        </w:rPr>
        <w:t>，平均为10</w:t>
      </w:r>
      <w:r>
        <w:rPr>
          <w:rFonts w:ascii="Times New Roman" w:hAnsi="Times New Roman" w:eastAsia="宋体" w:cs="Times New Roman"/>
          <w:snapToGrid/>
          <w:kern w:val="2"/>
          <w:lang w:eastAsia="zh-CN"/>
        </w:rPr>
        <w:t xml:space="preserve"> h</w:t>
      </w:r>
      <w:r>
        <w:rPr>
          <w:rFonts w:hint="eastAsia" w:ascii="Times New Roman" w:hAnsi="Times New Roman" w:eastAsia="宋体" w:cs="Times New Roman"/>
          <w:snapToGrid/>
          <w:kern w:val="2"/>
          <w:lang w:eastAsia="zh-CN"/>
        </w:rPr>
        <w:t>~</w:t>
      </w:r>
      <w:r>
        <w:rPr>
          <w:rFonts w:ascii="Times New Roman" w:hAnsi="Times New Roman" w:eastAsia="宋体" w:cs="Times New Roman"/>
          <w:snapToGrid/>
          <w:kern w:val="2"/>
          <w:lang w:eastAsia="zh-CN"/>
        </w:rPr>
        <w:t>12 h</w:t>
      </w:r>
      <w:r>
        <w:rPr>
          <w:rFonts w:hint="eastAsia" w:ascii="Times New Roman" w:hAnsi="Times New Roman" w:eastAsia="宋体" w:cs="Times New Roman"/>
          <w:snapToGrid/>
          <w:kern w:val="2"/>
          <w:lang w:eastAsia="zh-CN"/>
        </w:rPr>
        <w:t>。</w:t>
      </w:r>
    </w:p>
    <w:p w14:paraId="1997F1ED">
      <w:pPr>
        <w:kinsoku/>
        <w:autoSpaceDE/>
        <w:autoSpaceDN/>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3.2.2症状体征：主要表现为腹痛、腹泻，发热、呕吐少见；病程为24</w:t>
      </w:r>
      <w:r>
        <w:rPr>
          <w:rFonts w:ascii="Times New Roman" w:hAnsi="Times New Roman" w:eastAsia="宋体" w:cs="Times New Roman"/>
          <w:lang w:eastAsia="zh-CN"/>
        </w:rPr>
        <w:t xml:space="preserve"> h</w:t>
      </w:r>
      <w:r>
        <w:rPr>
          <w:rFonts w:hint="eastAsia" w:ascii="Times New Roman" w:hAnsi="Times New Roman" w:eastAsia="宋体" w:cs="Times New Roman"/>
          <w:snapToGrid/>
          <w:kern w:val="2"/>
          <w:lang w:eastAsia="zh-CN"/>
        </w:rPr>
        <w:t>~</w:t>
      </w:r>
      <w:r>
        <w:rPr>
          <w:rFonts w:ascii="Times New Roman" w:hAnsi="Times New Roman" w:eastAsia="宋体" w:cs="Times New Roman"/>
          <w:lang w:eastAsia="zh-CN"/>
        </w:rPr>
        <w:t>48 h</w:t>
      </w:r>
      <w:r>
        <w:rPr>
          <w:rFonts w:hint="eastAsia" w:ascii="Times New Roman" w:hAnsi="Times New Roman" w:eastAsia="宋体" w:cs="Times New Roman"/>
          <w:lang w:eastAsia="zh-CN"/>
        </w:rPr>
        <w:t xml:space="preserve">，预后良好，极少数出现坏死性肠炎甚至死亡的情况。 </w:t>
      </w:r>
    </w:p>
    <w:p w14:paraId="39FC15B0">
      <w:pPr>
        <w:kinsoku/>
        <w:autoSpaceDE/>
        <w:autoSpaceDN/>
        <w:spacing w:after="0" w:line="320" w:lineRule="exact"/>
        <w:rPr>
          <w:rFonts w:ascii="黑体" w:hAnsi="黑体" w:eastAsia="黑体" w:cs="黑体"/>
          <w:lang w:eastAsia="zh-CN"/>
        </w:rPr>
      </w:pPr>
      <w:r>
        <w:rPr>
          <w:rFonts w:hint="eastAsia" w:ascii="黑体" w:hAnsi="黑体" w:eastAsia="黑体" w:cs="黑体"/>
          <w:lang w:eastAsia="zh-CN"/>
        </w:rPr>
        <w:t>3.3  实验室检验</w:t>
      </w:r>
    </w:p>
    <w:p w14:paraId="621D274A">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lang w:eastAsia="zh-CN"/>
        </w:rPr>
        <w:t xml:space="preserve">3.3.1 </w:t>
      </w:r>
      <w:r>
        <w:rPr>
          <w:rFonts w:hint="eastAsia" w:ascii="Times New Roman" w:hAnsi="Times New Roman" w:eastAsia="宋体" w:cs="Times New Roman"/>
          <w:lang w:eastAsia="zh-CN"/>
        </w:rPr>
        <w:t>从患者</w:t>
      </w:r>
      <w:r>
        <w:rPr>
          <w:rFonts w:ascii="Times New Roman" w:hAnsi="Times New Roman" w:eastAsia="宋体" w:cs="Times New Roman"/>
          <w:lang w:eastAsia="zh-CN"/>
        </w:rPr>
        <w:t>生物标</w:t>
      </w:r>
      <w:r>
        <w:rPr>
          <w:rFonts w:hint="eastAsia" w:ascii="Times New Roman" w:hAnsi="Times New Roman" w:eastAsia="宋体" w:cs="Times New Roman"/>
          <w:lang w:eastAsia="zh-CN"/>
        </w:rPr>
        <w:t>本（粪便、肛拭子）中检出携带</w:t>
      </w:r>
      <w:r>
        <w:rPr>
          <w:rFonts w:ascii="Times New Roman" w:hAnsi="Times New Roman" w:eastAsia="宋体" w:cs="Times New Roman"/>
          <w:i/>
          <w:iCs/>
          <w:lang w:eastAsia="zh-CN"/>
        </w:rPr>
        <w:t>cpe</w:t>
      </w:r>
      <w:r>
        <w:rPr>
          <w:rFonts w:hint="eastAsia" w:ascii="Times New Roman" w:hAnsi="Times New Roman" w:eastAsia="宋体" w:cs="Times New Roman"/>
          <w:lang w:eastAsia="zh-CN"/>
        </w:rPr>
        <w:t>基因的产气荚膜梭菌。</w:t>
      </w:r>
    </w:p>
    <w:p w14:paraId="4099C022">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lang w:eastAsia="zh-CN"/>
        </w:rPr>
        <w:t xml:space="preserve">3.3.2 </w:t>
      </w:r>
      <w:r>
        <w:rPr>
          <w:rFonts w:hint="eastAsia" w:ascii="Times New Roman" w:hAnsi="Times New Roman" w:eastAsia="宋体" w:cs="Times New Roman"/>
          <w:lang w:eastAsia="zh-CN"/>
        </w:rPr>
        <w:t>从可疑食品中检出产气荚膜梭菌。</w:t>
      </w:r>
    </w:p>
    <w:p w14:paraId="7BF7A9EE">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lang w:eastAsia="zh-CN"/>
        </w:rPr>
        <w:t xml:space="preserve">3.3.3 </w:t>
      </w:r>
      <w:r>
        <w:rPr>
          <w:rFonts w:hint="eastAsia" w:ascii="Times New Roman" w:hAnsi="Times New Roman" w:eastAsia="宋体" w:cs="Times New Roman"/>
          <w:lang w:eastAsia="zh-CN"/>
        </w:rPr>
        <w:t>食品样品中产气荚膜梭菌检验方法按照</w:t>
      </w:r>
      <w:r>
        <w:rPr>
          <w:rFonts w:ascii="Times New Roman" w:hAnsi="Times New Roman" w:eastAsia="宋体" w:cs="Times New Roman"/>
          <w:lang w:eastAsia="zh-CN"/>
        </w:rPr>
        <w:t>GB 4789.13</w:t>
      </w:r>
      <w:r>
        <w:rPr>
          <w:rFonts w:hint="eastAsia" w:ascii="Times New Roman" w:hAnsi="Times New Roman" w:eastAsia="宋体" w:cs="Times New Roman"/>
          <w:lang w:eastAsia="zh-CN"/>
        </w:rPr>
        <w:t>执行；粪便或肛拭子中产气荚膜梭菌定性培养方法按照附录A执行；产气荚膜梭菌</w:t>
      </w:r>
      <w:r>
        <w:rPr>
          <w:rFonts w:ascii="Times New Roman" w:hAnsi="Times New Roman" w:eastAsia="宋体" w:cs="Times New Roman"/>
          <w:i/>
          <w:iCs/>
          <w:lang w:eastAsia="zh-CN"/>
        </w:rPr>
        <w:t>plc</w:t>
      </w:r>
      <w:r>
        <w:rPr>
          <w:rFonts w:hint="eastAsia" w:ascii="Times New Roman" w:hAnsi="Times New Roman" w:eastAsia="宋体" w:cs="Times New Roman"/>
          <w:lang w:eastAsia="zh-CN"/>
        </w:rPr>
        <w:t xml:space="preserve"> 基因和 </w:t>
      </w:r>
      <w:r>
        <w:rPr>
          <w:rFonts w:ascii="Times New Roman" w:hAnsi="Times New Roman" w:eastAsia="宋体" w:cs="Times New Roman"/>
          <w:i/>
          <w:iCs/>
          <w:lang w:eastAsia="zh-CN"/>
        </w:rPr>
        <w:t>cpe</w:t>
      </w:r>
      <w:r>
        <w:rPr>
          <w:rFonts w:hint="eastAsia" w:ascii="Times New Roman" w:hAnsi="Times New Roman" w:eastAsia="宋体" w:cs="Times New Roman"/>
          <w:lang w:eastAsia="zh-CN"/>
        </w:rPr>
        <w:t>基因实时荧光PCR检验方法按照附录B执行。</w:t>
      </w:r>
    </w:p>
    <w:p w14:paraId="78953976">
      <w:pPr>
        <w:kinsoku/>
        <w:autoSpaceDE/>
        <w:autoSpaceDN/>
        <w:spacing w:after="0" w:line="320" w:lineRule="exact"/>
        <w:rPr>
          <w:rFonts w:ascii="Times New Roman" w:hAnsi="Times New Roman" w:eastAsia="宋体" w:cs="Times New Roman"/>
          <w:lang w:eastAsia="zh-CN"/>
        </w:rPr>
      </w:pPr>
    </w:p>
    <w:p w14:paraId="2A0BBA5D">
      <w:pPr>
        <w:autoSpaceDE/>
        <w:autoSpaceDN/>
        <w:adjustRightInd/>
        <w:snapToGrid/>
        <w:spacing w:after="0" w:line="360" w:lineRule="auto"/>
        <w:contextualSpacing/>
        <w:jc w:val="both"/>
        <w:rPr>
          <w:rFonts w:ascii="Times New Roman" w:hAnsi="Times New Roman" w:eastAsia="宋体" w:cs="Times New Roman"/>
          <w:spacing w:val="-6"/>
          <w:lang w:eastAsia="zh-CN"/>
        </w:rPr>
      </w:pPr>
      <w:r>
        <w:rPr>
          <w:rFonts w:hint="eastAsia" w:ascii="黑体" w:hAnsi="黑体" w:eastAsia="黑体" w:cs="黑体"/>
          <w:spacing w:val="-6"/>
          <w:sz w:val="20"/>
          <w:szCs w:val="20"/>
          <w:lang w:eastAsia="zh-CN"/>
        </w:rPr>
        <w:t>4 判定</w:t>
      </w:r>
    </w:p>
    <w:p w14:paraId="26AE2A99">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spacing w:val="5"/>
          <w:lang w:eastAsia="zh-CN"/>
        </w:rPr>
        <w:t xml:space="preserve">4.1 </w:t>
      </w:r>
      <w:r>
        <w:rPr>
          <w:rFonts w:hint="eastAsia" w:ascii="Times New Roman" w:hAnsi="Times New Roman" w:eastAsia="宋体" w:cs="Times New Roman"/>
          <w:spacing w:val="5"/>
          <w:lang w:eastAsia="zh-CN"/>
        </w:rPr>
        <w:t>符合3.1和3.2，且从患者的粪便或肛拭子中检出携带</w:t>
      </w:r>
      <w:r>
        <w:rPr>
          <w:rFonts w:ascii="Times New Roman" w:hAnsi="Times New Roman" w:eastAsia="宋体" w:cs="Times New Roman"/>
          <w:i/>
          <w:iCs/>
          <w:spacing w:val="5"/>
          <w:lang w:eastAsia="zh-CN"/>
        </w:rPr>
        <w:t>cpe</w:t>
      </w:r>
      <w:r>
        <w:rPr>
          <w:rFonts w:hint="eastAsia" w:ascii="Times New Roman" w:hAnsi="Times New Roman" w:eastAsia="宋体" w:cs="Times New Roman"/>
          <w:spacing w:val="5"/>
          <w:lang w:eastAsia="zh-CN"/>
        </w:rPr>
        <w:t>基因的产气荚膜梭菌，</w:t>
      </w:r>
      <w:r>
        <w:rPr>
          <w:rFonts w:hint="eastAsia" w:ascii="Times New Roman" w:hAnsi="Times New Roman" w:eastAsia="宋体" w:cs="Times New Roman"/>
          <w:lang w:eastAsia="zh-CN"/>
        </w:rPr>
        <w:t>可判定为</w:t>
      </w:r>
      <w:r>
        <w:rPr>
          <w:rFonts w:hint="eastAsia" w:ascii="Times New Roman" w:hAnsi="Times New Roman" w:eastAsia="宋体" w:cs="Times New Roman"/>
          <w:spacing w:val="5"/>
          <w:lang w:eastAsia="zh-CN"/>
        </w:rPr>
        <w:t>食源性产气荚膜梭菌病病例。</w:t>
      </w:r>
    </w:p>
    <w:p w14:paraId="64D404BF">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spacing w:val="5"/>
          <w:lang w:eastAsia="zh-CN"/>
        </w:rPr>
        <w:t xml:space="preserve">4.2 </w:t>
      </w:r>
      <w:r>
        <w:rPr>
          <w:rFonts w:hint="eastAsia" w:ascii="Times New Roman" w:hAnsi="Times New Roman" w:eastAsia="宋体" w:cs="Times New Roman"/>
          <w:spacing w:val="5"/>
          <w:lang w:eastAsia="zh-CN"/>
        </w:rPr>
        <w:t>符合3.1和3.2，具有共同饮食暴露史，</w:t>
      </w:r>
      <w:r>
        <w:rPr>
          <w:rFonts w:hint="eastAsia" w:ascii="Times New Roman" w:hAnsi="Times New Roman" w:eastAsia="宋体" w:cs="Times New Roman"/>
          <w:lang w:eastAsia="zh-CN"/>
        </w:rPr>
        <w:t>且符合以下任一条件，</w:t>
      </w:r>
      <w:r>
        <w:rPr>
          <w:rFonts w:hint="eastAsia" w:ascii="Times New Roman" w:hAnsi="Times New Roman" w:eastAsia="宋体" w:cs="Times New Roman"/>
          <w:spacing w:val="5"/>
          <w:lang w:eastAsia="zh-CN"/>
        </w:rPr>
        <w:t>可判定为食源性产气荚膜梭菌病暴发事件。</w:t>
      </w:r>
    </w:p>
    <w:p w14:paraId="73AE3440">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spacing w:val="5"/>
          <w:lang w:eastAsia="zh-CN"/>
        </w:rPr>
        <w:t xml:space="preserve">4.2.1 </w:t>
      </w:r>
      <w:r>
        <w:rPr>
          <w:rFonts w:hint="eastAsia" w:ascii="Times New Roman" w:hAnsi="Times New Roman" w:eastAsia="宋体" w:cs="Times New Roman"/>
          <w:lang w:eastAsia="zh-CN"/>
        </w:rPr>
        <w:t>从</w:t>
      </w:r>
      <w:r>
        <w:rPr>
          <w:rFonts w:hint="eastAsia" w:ascii="Times New Roman" w:hAnsi="Times New Roman" w:eastAsia="宋体" w:cs="Times New Roman"/>
          <w:spacing w:val="5"/>
          <w:lang w:eastAsia="zh-CN"/>
        </w:rPr>
        <w:t>2例及以上患者的粪便或肛拭子中检出携带</w:t>
      </w:r>
      <w:r>
        <w:rPr>
          <w:rFonts w:ascii="Times New Roman" w:hAnsi="Times New Roman" w:eastAsia="宋体" w:cs="Times New Roman"/>
          <w:i/>
          <w:iCs/>
          <w:spacing w:val="5"/>
          <w:lang w:eastAsia="zh-CN"/>
        </w:rPr>
        <w:t>cpe</w:t>
      </w:r>
      <w:r>
        <w:rPr>
          <w:rFonts w:hint="eastAsia" w:ascii="Times New Roman" w:hAnsi="Times New Roman" w:eastAsia="宋体" w:cs="Times New Roman"/>
          <w:spacing w:val="5"/>
          <w:lang w:eastAsia="zh-CN"/>
        </w:rPr>
        <w:t>基因的产气荚膜梭菌。</w:t>
      </w:r>
    </w:p>
    <w:p w14:paraId="4932447A">
      <w:pPr>
        <w:kinsoku/>
        <w:autoSpaceDE/>
        <w:autoSpaceDN/>
        <w:spacing w:after="0" w:line="320" w:lineRule="exact"/>
        <w:rPr>
          <w:rFonts w:ascii="Times New Roman" w:hAnsi="Times New Roman" w:eastAsia="宋体" w:cs="Times New Roman"/>
          <w:spacing w:val="5"/>
          <w:lang w:eastAsia="zh-CN"/>
        </w:rPr>
      </w:pPr>
      <w:r>
        <w:rPr>
          <w:rFonts w:hint="eastAsia" w:ascii="Times New Roman" w:hAnsi="Times New Roman" w:eastAsia="宋体" w:cs="Times New Roman"/>
          <w:spacing w:val="5"/>
          <w:lang w:eastAsia="zh-CN"/>
        </w:rPr>
        <w:t>4.2.2 可疑食品中产气荚膜梭菌计数≥10</w:t>
      </w:r>
      <w:r>
        <w:rPr>
          <w:rFonts w:ascii="Times New Roman" w:hAnsi="Times New Roman" w:eastAsia="宋体" w:cs="Times New Roman"/>
          <w:spacing w:val="5"/>
          <w:vertAlign w:val="superscript"/>
          <w:lang w:eastAsia="zh-CN"/>
        </w:rPr>
        <w:t xml:space="preserve">5 </w:t>
      </w:r>
      <w:r>
        <w:rPr>
          <w:rFonts w:ascii="Times New Roman" w:hAnsi="Times New Roman" w:eastAsia="宋体" w:cs="Times New Roman"/>
          <w:spacing w:val="5"/>
          <w:lang w:eastAsia="zh-CN"/>
        </w:rPr>
        <w:t>CFU/g</w:t>
      </w:r>
      <w:r>
        <w:rPr>
          <w:rFonts w:hint="eastAsia" w:ascii="Times New Roman" w:hAnsi="Times New Roman" w:eastAsia="宋体" w:cs="Times New Roman"/>
          <w:spacing w:val="5"/>
          <w:lang w:eastAsia="zh-CN"/>
        </w:rPr>
        <w:t>(</w:t>
      </w:r>
      <w:r>
        <w:rPr>
          <w:rFonts w:ascii="Times New Roman" w:hAnsi="Times New Roman" w:eastAsia="宋体" w:cs="Times New Roman"/>
          <w:spacing w:val="5"/>
          <w:lang w:eastAsia="zh-CN"/>
        </w:rPr>
        <w:t>mL</w:t>
      </w:r>
      <w:r>
        <w:rPr>
          <w:rFonts w:hint="eastAsia" w:ascii="Times New Roman" w:hAnsi="Times New Roman" w:eastAsia="宋体" w:cs="Times New Roman"/>
          <w:spacing w:val="5"/>
          <w:lang w:eastAsia="zh-CN"/>
        </w:rPr>
        <w:t>)。</w:t>
      </w:r>
    </w:p>
    <w:p w14:paraId="612F3314">
      <w:pPr>
        <w:kinsoku/>
        <w:autoSpaceDE/>
        <w:autoSpaceDN/>
        <w:spacing w:after="0" w:line="320" w:lineRule="exact"/>
        <w:rPr>
          <w:rFonts w:ascii="Times New Roman" w:hAnsi="Times New Roman" w:eastAsia="宋体" w:cs="Times New Roman"/>
          <w:lang w:eastAsia="zh-CN"/>
        </w:rPr>
      </w:pPr>
      <w:r>
        <w:rPr>
          <w:rFonts w:ascii="Times New Roman" w:hAnsi="Times New Roman" w:eastAsia="宋体" w:cs="Times New Roman"/>
          <w:spacing w:val="5"/>
          <w:lang w:eastAsia="zh-CN"/>
        </w:rPr>
        <w:t>4.2.3</w:t>
      </w:r>
      <w:r>
        <w:rPr>
          <w:rFonts w:hint="eastAsia" w:ascii="Times New Roman" w:hAnsi="Times New Roman" w:eastAsia="宋体" w:cs="Times New Roman"/>
          <w:spacing w:val="5"/>
          <w:lang w:eastAsia="zh-CN"/>
        </w:rPr>
        <w:t xml:space="preserve"> 其他情况，按照WS/T xx.xxx《食源性疾病判定标准及技术处理总则》</w:t>
      </w:r>
      <w:r>
        <w:rPr>
          <w:rFonts w:hint="eastAsia" w:ascii="Times New Roman" w:hAnsi="Times New Roman" w:eastAsia="宋体" w:cs="Times New Roman"/>
          <w:lang w:eastAsia="zh-CN"/>
        </w:rPr>
        <w:t>判定</w:t>
      </w:r>
      <w:r>
        <w:rPr>
          <w:rFonts w:hint="eastAsia" w:ascii="Times New Roman" w:hAnsi="Times New Roman" w:eastAsia="宋体" w:cs="Times New Roman"/>
          <w:spacing w:val="5"/>
          <w:lang w:eastAsia="zh-CN"/>
        </w:rPr>
        <w:t xml:space="preserve">。 </w:t>
      </w:r>
    </w:p>
    <w:p w14:paraId="592B5DB1">
      <w:pPr>
        <w:kinsoku/>
        <w:autoSpaceDE/>
        <w:autoSpaceDN/>
        <w:spacing w:after="0" w:line="320" w:lineRule="exact"/>
        <w:rPr>
          <w:rFonts w:ascii="Times New Roman" w:hAnsi="Times New Roman" w:eastAsia="宋体" w:cs="Times New Roman"/>
          <w:lang w:eastAsia="zh-CN"/>
        </w:rPr>
      </w:pPr>
    </w:p>
    <w:p w14:paraId="7B6D7DCC">
      <w:pPr>
        <w:autoSpaceDE/>
        <w:autoSpaceDN/>
        <w:spacing w:before="600" w:beforeLines="250" w:after="600" w:afterLines="250" w:line="360" w:lineRule="auto"/>
        <w:ind w:right="210" w:rightChars="100"/>
        <w:contextualSpacing/>
        <w:jc w:val="both"/>
        <w:outlineLvl w:val="1"/>
        <w:rPr>
          <w:rFonts w:ascii="Times New Roman" w:hAnsi="Times New Roman" w:eastAsia="宋体" w:cs="Times New Roman"/>
          <w:spacing w:val="-6"/>
          <w:lang w:eastAsia="zh-CN"/>
        </w:rPr>
      </w:pPr>
      <w:r>
        <w:rPr>
          <w:rFonts w:hint="eastAsia" w:ascii="黑体" w:hAnsi="黑体" w:eastAsia="黑体" w:cs="黑体"/>
          <w:bCs/>
          <w:snapToGrid/>
          <w:spacing w:val="-6"/>
          <w:kern w:val="2"/>
          <w:lang w:eastAsia="zh-CN"/>
        </w:rPr>
        <w:t>5 处理</w:t>
      </w:r>
    </w:p>
    <w:p w14:paraId="3AA8D6E1">
      <w:pPr>
        <w:kinsoku/>
        <w:autoSpaceDE/>
        <w:autoSpaceDN/>
        <w:spacing w:after="0" w:line="320" w:lineRule="exact"/>
        <w:ind w:firstLine="440" w:firstLineChars="200"/>
        <w:rPr>
          <w:rFonts w:ascii="Times New Roman" w:hAnsi="Times New Roman" w:eastAsia="宋体" w:cs="Times New Roman"/>
          <w:spacing w:val="5"/>
          <w:lang w:eastAsia="zh-CN"/>
        </w:rPr>
      </w:pPr>
      <w:r>
        <w:rPr>
          <w:rFonts w:hint="eastAsia" w:ascii="Times New Roman" w:hAnsi="Times New Roman" w:eastAsia="宋体" w:cs="Times New Roman"/>
          <w:spacing w:val="5"/>
          <w:lang w:eastAsia="zh-CN"/>
        </w:rPr>
        <w:t>按照WS/T xx.xxx《食源性疾病判定标准及技术处理总则》执行。</w:t>
      </w:r>
    </w:p>
    <w:p w14:paraId="17A99A6C">
      <w:pPr>
        <w:pStyle w:val="4"/>
        <w:kinsoku/>
        <w:overflowPunct w:val="0"/>
        <w:autoSpaceDE/>
        <w:autoSpaceDN/>
        <w:spacing w:before="160" w:line="360" w:lineRule="auto"/>
        <w:ind w:firstLine="440" w:firstLineChars="200"/>
        <w:contextualSpacing/>
        <w:jc w:val="both"/>
        <w:rPr>
          <w:rFonts w:ascii="Times New Roman" w:hAnsi="Times New Roman" w:eastAsia="宋体" w:cs="Times New Roman"/>
          <w:spacing w:val="5"/>
          <w:sz w:val="21"/>
          <w:szCs w:val="21"/>
          <w:lang w:eastAsia="zh-CN"/>
        </w:rPr>
      </w:pPr>
    </w:p>
    <w:p w14:paraId="13D91EC5">
      <w:pPr>
        <w:pStyle w:val="4"/>
        <w:kinsoku/>
        <w:overflowPunct w:val="0"/>
        <w:autoSpaceDE/>
        <w:autoSpaceDN/>
        <w:spacing w:before="160" w:line="360" w:lineRule="auto"/>
        <w:ind w:firstLine="440" w:firstLineChars="200"/>
        <w:contextualSpacing/>
        <w:jc w:val="both"/>
        <w:rPr>
          <w:rFonts w:ascii="Times New Roman" w:hAnsi="Times New Roman" w:eastAsia="宋体" w:cs="Times New Roman"/>
          <w:spacing w:val="5"/>
          <w:sz w:val="21"/>
          <w:szCs w:val="21"/>
          <w:lang w:eastAsia="zh-CN"/>
        </w:rPr>
      </w:pPr>
    </w:p>
    <w:p w14:paraId="261B92B9">
      <w:pPr>
        <w:kinsoku/>
        <w:overflowPunct w:val="0"/>
        <w:autoSpaceDE/>
        <w:autoSpaceDN/>
        <w:spacing w:before="160" w:line="360" w:lineRule="auto"/>
        <w:ind w:firstLine="420" w:firstLineChars="200"/>
        <w:rPr>
          <w:rFonts w:ascii="Times New Roman" w:hAnsi="Times New Roman" w:cs="Times New Roman"/>
          <w:lang w:eastAsia="zh-CN"/>
        </w:rPr>
        <w:sectPr>
          <w:headerReference r:id="rId5" w:type="default"/>
          <w:footerReference r:id="rId6" w:type="default"/>
          <w:pgSz w:w="11906" w:h="16838"/>
          <w:pgMar w:top="1440" w:right="1800" w:bottom="1440" w:left="1800" w:header="0" w:footer="0" w:gutter="0"/>
          <w:pgNumType w:start="1"/>
          <w:cols w:space="720" w:num="1"/>
          <w:docGrid w:linePitch="286" w:charSpace="0"/>
        </w:sectPr>
      </w:pPr>
    </w:p>
    <w:p w14:paraId="0AF337CD">
      <w:pPr>
        <w:widowControl w:val="0"/>
        <w:kinsoku/>
        <w:autoSpaceDE/>
        <w:autoSpaceDN/>
        <w:adjustRightInd/>
        <w:snapToGrid/>
        <w:spacing w:before="120" w:beforeLines="50" w:after="120" w:afterLines="50" w:line="360" w:lineRule="auto"/>
        <w:jc w:val="center"/>
        <w:textAlignment w:val="auto"/>
        <w:rPr>
          <w:rFonts w:ascii="Times New Roman" w:hAnsi="Times New Roman" w:eastAsia="黑体" w:cs="Times New Roman"/>
          <w:snapToGrid/>
          <w:lang w:val="zh-CN" w:eastAsia="zh-CN" w:bidi="ar"/>
        </w:rPr>
      </w:pPr>
      <w:r>
        <w:rPr>
          <w:rFonts w:hint="eastAsia" w:ascii="Times New Roman" w:hAnsi="Times New Roman" w:eastAsia="黑体" w:cs="Times New Roman"/>
          <w:snapToGrid/>
          <w:lang w:val="zh-CN" w:eastAsia="zh-CN" w:bidi="ar"/>
        </w:rPr>
        <w:t>附录A</w:t>
      </w:r>
    </w:p>
    <w:p w14:paraId="1ACD7D93">
      <w:pPr>
        <w:widowControl w:val="0"/>
        <w:kinsoku/>
        <w:autoSpaceDE/>
        <w:autoSpaceDN/>
        <w:adjustRightInd/>
        <w:snapToGrid/>
        <w:spacing w:before="120" w:beforeLines="50" w:after="120" w:afterLines="50" w:line="360" w:lineRule="auto"/>
        <w:jc w:val="center"/>
        <w:textAlignment w:val="auto"/>
        <w:rPr>
          <w:rFonts w:ascii="Times New Roman" w:hAnsi="Times New Roman" w:eastAsia="黑体" w:cs="Times New Roman"/>
          <w:snapToGrid/>
          <w:lang w:val="zh-CN" w:eastAsia="zh-CN" w:bidi="ar"/>
        </w:rPr>
      </w:pPr>
      <w:r>
        <w:rPr>
          <w:rFonts w:hint="eastAsia" w:ascii="Times New Roman" w:hAnsi="Times New Roman" w:eastAsia="黑体" w:cs="Times New Roman"/>
          <w:snapToGrid/>
          <w:lang w:val="zh-CN" w:eastAsia="zh-CN" w:bidi="ar"/>
        </w:rPr>
        <w:t>粪便或肛拭子中产气荚膜梭菌定性培养方法</w:t>
      </w:r>
    </w:p>
    <w:p w14:paraId="3C46760A">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w:t>
      </w:r>
      <w:r>
        <w:rPr>
          <w:rFonts w:ascii="Times New Roman" w:hAnsi="Times New Roman" w:eastAsia="宋体" w:cs="Times New Roman"/>
          <w:lang w:eastAsia="zh-CN"/>
        </w:rPr>
        <w:t>1 适用范围</w:t>
      </w:r>
    </w:p>
    <w:p w14:paraId="6412D72F">
      <w:pPr>
        <w:spacing w:line="300" w:lineRule="auto"/>
        <w:ind w:firstLine="420" w:firstLineChars="200"/>
        <w:contextualSpacing/>
        <w:jc w:val="both"/>
        <w:rPr>
          <w:rFonts w:ascii="Times New Roman" w:hAnsi="Times New Roman" w:eastAsia="宋体" w:cs="Times New Roman"/>
          <w:lang w:eastAsia="zh-CN"/>
        </w:rPr>
      </w:pPr>
      <w:r>
        <w:rPr>
          <w:rFonts w:ascii="Times New Roman" w:hAnsi="Times New Roman" w:eastAsia="宋体" w:cs="Times New Roman"/>
          <w:lang w:eastAsia="zh-CN"/>
        </w:rPr>
        <w:t>主要适用于粪便</w:t>
      </w:r>
      <w:r>
        <w:rPr>
          <w:rFonts w:hint="eastAsia" w:ascii="Times New Roman" w:hAnsi="Times New Roman" w:eastAsia="宋体" w:cs="Times New Roman"/>
          <w:lang w:eastAsia="zh-CN"/>
        </w:rPr>
        <w:t>和</w:t>
      </w:r>
      <w:r>
        <w:rPr>
          <w:rFonts w:ascii="Times New Roman" w:hAnsi="Times New Roman" w:eastAsia="宋体" w:cs="Times New Roman"/>
          <w:lang w:eastAsia="zh-CN"/>
        </w:rPr>
        <w:t>肛拭子</w:t>
      </w:r>
      <w:r>
        <w:rPr>
          <w:rFonts w:hint="eastAsia" w:ascii="Times New Roman" w:hAnsi="Times New Roman" w:eastAsia="宋体" w:cs="Times New Roman"/>
          <w:lang w:eastAsia="zh-CN"/>
        </w:rPr>
        <w:t>中</w:t>
      </w:r>
      <w:r>
        <w:rPr>
          <w:rFonts w:ascii="Times New Roman" w:hAnsi="Times New Roman" w:eastAsia="宋体" w:cs="Times New Roman"/>
          <w:lang w:eastAsia="zh-CN"/>
        </w:rPr>
        <w:t>产气荚膜梭菌</w:t>
      </w:r>
      <w:r>
        <w:rPr>
          <w:rFonts w:hint="eastAsia" w:ascii="Times New Roman" w:hAnsi="Times New Roman" w:eastAsia="宋体" w:cs="Times New Roman"/>
          <w:lang w:eastAsia="zh-CN"/>
        </w:rPr>
        <w:t>定性检验</w:t>
      </w:r>
      <w:r>
        <w:rPr>
          <w:rFonts w:ascii="Times New Roman" w:hAnsi="Times New Roman" w:eastAsia="宋体" w:cs="Times New Roman"/>
          <w:lang w:eastAsia="zh-CN"/>
        </w:rPr>
        <w:t>。</w:t>
      </w:r>
    </w:p>
    <w:p w14:paraId="03E36A9C">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w:t>
      </w:r>
      <w:r>
        <w:rPr>
          <w:rFonts w:ascii="Times New Roman" w:hAnsi="Times New Roman" w:eastAsia="宋体" w:cs="Times New Roman"/>
          <w:lang w:eastAsia="zh-CN"/>
        </w:rPr>
        <w:t xml:space="preserve">2 </w:t>
      </w:r>
      <w:r>
        <w:rPr>
          <w:rFonts w:hint="eastAsia" w:ascii="Times New Roman" w:hAnsi="Times New Roman" w:eastAsia="宋体" w:cs="Times New Roman"/>
          <w:lang w:eastAsia="zh-CN"/>
        </w:rPr>
        <w:t>粪便悬液和/或肛拭子悬液制备</w:t>
      </w:r>
    </w:p>
    <w:p w14:paraId="31788F03">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取粪便200 mg（黄豆粒大小），溶解于2 mL无菌生理盐水，制成粪便悬液原液，并依次进行十倍稀释和百倍稀释。</w:t>
      </w:r>
    </w:p>
    <w:p w14:paraId="6F99A479">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将肛拭子从运送培养基中取出，插入2 mL无菌生理盐水，充分震荡混匀，制成肛拭子悬液。</w:t>
      </w:r>
    </w:p>
    <w:p w14:paraId="3D4F724B">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.3</w:t>
      </w:r>
      <w:r>
        <w:rPr>
          <w:rFonts w:ascii="Times New Roman" w:hAnsi="Times New Roman" w:eastAsia="宋体" w:cs="Times New Roman"/>
          <w:lang w:eastAsia="zh-CN"/>
        </w:rPr>
        <w:t xml:space="preserve"> </w:t>
      </w:r>
      <w:r>
        <w:rPr>
          <w:rFonts w:hint="eastAsia" w:ascii="Times New Roman" w:hAnsi="Times New Roman" w:eastAsia="宋体" w:cs="Times New Roman"/>
          <w:lang w:eastAsia="zh-CN"/>
        </w:rPr>
        <w:t>接种和菌落纯化</w:t>
      </w:r>
    </w:p>
    <w:p w14:paraId="340CC6DD">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粪便悬液（包括原液、十倍稀释液和百倍稀释液）和肛拭子悬液均取1 mL加入9 cm直径无菌空平皿中，倾注约50 ℃的 TSC琼脂培养基9 mL，缓慢旋转混匀，室温凝固。再加入约50 ℃的 TSC琼脂培养基10 mL，室温凝固，正置，36 ℃±1 ℃厌氧培养20 h~24 h。</w:t>
      </w:r>
    </w:p>
    <w:p w14:paraId="7E576E09">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每个TSC平板上挑取至少5个黑色单菌落，接种5%绵羊血琼脂培养基，36 ℃±1 ℃倒置厌氧培养20 h~24 h。挑取有溶血环、表面光滑菌落，接种5%绵羊血琼脂培养基，36 ℃±1 ℃倒置厌氧培养20 h~24 h，纯化。</w:t>
      </w:r>
    </w:p>
    <w:p w14:paraId="6316DD74">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.4</w:t>
      </w:r>
      <w:r>
        <w:rPr>
          <w:rFonts w:ascii="Times New Roman" w:hAnsi="Times New Roman" w:eastAsia="宋体" w:cs="Times New Roman"/>
          <w:lang w:eastAsia="zh-CN"/>
        </w:rPr>
        <w:t xml:space="preserve"> </w:t>
      </w:r>
      <w:r>
        <w:rPr>
          <w:rFonts w:hint="eastAsia" w:ascii="Times New Roman" w:hAnsi="Times New Roman" w:eastAsia="宋体" w:cs="Times New Roman"/>
          <w:lang w:eastAsia="zh-CN"/>
        </w:rPr>
        <w:t>形态学检查</w:t>
      </w:r>
    </w:p>
    <w:p w14:paraId="73E242FB">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取纯化菌落，参照 GB 4789.13执行。</w:t>
      </w:r>
    </w:p>
    <w:p w14:paraId="799B2488">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.5</w:t>
      </w:r>
      <w:r>
        <w:rPr>
          <w:rFonts w:ascii="Times New Roman" w:hAnsi="Times New Roman" w:eastAsia="宋体" w:cs="Times New Roman"/>
          <w:lang w:eastAsia="zh-CN"/>
        </w:rPr>
        <w:t xml:space="preserve"> </w:t>
      </w:r>
      <w:r>
        <w:rPr>
          <w:rFonts w:hint="eastAsia" w:ascii="Times New Roman" w:hAnsi="Times New Roman" w:eastAsia="宋体" w:cs="Times New Roman"/>
          <w:lang w:eastAsia="zh-CN"/>
        </w:rPr>
        <w:t>菌株鉴定</w:t>
      </w:r>
    </w:p>
    <w:p w14:paraId="2B1E2748">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生化鉴定：按照 GB 4789.13的规定执行，也可以使用生化鉴定试剂盒、鉴定卡或微生物生化鉴定系统鉴定。</w:t>
      </w:r>
    </w:p>
    <w:p w14:paraId="32952C55">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质谱鉴定：按照基质辅助激光解吸电离飞行时间</w:t>
      </w:r>
      <w:r>
        <w:rPr>
          <w:rFonts w:ascii="Times New Roman" w:hAnsi="Times New Roman" w:eastAsia="宋体" w:cs="Times New Roman"/>
          <w:lang w:eastAsia="zh-CN"/>
        </w:rPr>
        <w:t>（MALDI-TOF MS）</w:t>
      </w:r>
      <w:r>
        <w:rPr>
          <w:rFonts w:hint="eastAsia" w:ascii="Times New Roman" w:hAnsi="Times New Roman" w:eastAsia="宋体" w:cs="Times New Roman"/>
          <w:lang w:eastAsia="zh-CN"/>
        </w:rPr>
        <w:t>质谱仪的操作说明执行。</w:t>
      </w:r>
    </w:p>
    <w:p w14:paraId="302675FC">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生化鉴定或质谱鉴定中任意一种均可作为产气荚膜梭菌最终的鉴定结果。</w:t>
      </w:r>
    </w:p>
    <w:p w14:paraId="77F480B6">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.6</w:t>
      </w:r>
      <w:r>
        <w:rPr>
          <w:rFonts w:ascii="Times New Roman" w:hAnsi="Times New Roman" w:eastAsia="宋体" w:cs="Times New Roman"/>
          <w:lang w:eastAsia="zh-CN"/>
        </w:rPr>
        <w:t xml:space="preserve"> </w:t>
      </w:r>
      <w:r>
        <w:rPr>
          <w:rFonts w:hint="eastAsia" w:ascii="Times New Roman" w:hAnsi="Times New Roman" w:eastAsia="宋体" w:cs="Times New Roman"/>
          <w:lang w:eastAsia="zh-CN"/>
        </w:rPr>
        <w:t>菌株保藏</w:t>
      </w:r>
    </w:p>
    <w:p w14:paraId="5123010F">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取纯化菌落，加入含有5%无菌脱纤维羊血的FTG培养基制成菌悬液，与灭菌甘油溶液混合，使甘油终浓度为20%~40%；或加入磁珠保藏管；或加入5%蔗糖脱脂乳保护剂，冻干。-20℃或以下保藏。</w:t>
      </w:r>
    </w:p>
    <w:p w14:paraId="428D80BD">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.7</w:t>
      </w:r>
      <w:r>
        <w:rPr>
          <w:rFonts w:ascii="Times New Roman" w:hAnsi="Times New Roman" w:eastAsia="宋体" w:cs="Times New Roman"/>
          <w:lang w:eastAsia="zh-CN"/>
        </w:rPr>
        <w:t xml:space="preserve"> </w:t>
      </w:r>
      <w:r>
        <w:rPr>
          <w:rFonts w:hint="eastAsia" w:ascii="Times New Roman" w:hAnsi="Times New Roman" w:eastAsia="宋体" w:cs="Times New Roman"/>
          <w:lang w:eastAsia="zh-CN"/>
        </w:rPr>
        <w:t>结果报告</w:t>
      </w:r>
    </w:p>
    <w:p w14:paraId="202602F9">
      <w:pPr>
        <w:spacing w:line="300" w:lineRule="auto"/>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报告粪便或肛拭子中检出或未检出产气荚膜梭菌。</w:t>
      </w:r>
    </w:p>
    <w:p w14:paraId="6650860E">
      <w:pPr>
        <w:spacing w:line="300" w:lineRule="auto"/>
        <w:contextualSpacing/>
        <w:jc w:val="both"/>
        <w:rPr>
          <w:rFonts w:ascii="Times New Roman" w:hAnsi="Times New Roman" w:eastAsia="宋体" w:cs="Times New Roman"/>
          <w:lang w:eastAsia="zh-CN"/>
        </w:rPr>
      </w:pPr>
      <w:r>
        <w:rPr>
          <w:rFonts w:ascii="Times New Roman" w:hAnsi="Times New Roman" w:eastAsia="宋体" w:cs="Times New Roman"/>
          <w:lang w:eastAsia="zh-CN"/>
        </w:rPr>
        <w:t>A</w:t>
      </w:r>
      <w:r>
        <w:rPr>
          <w:rFonts w:hint="eastAsia" w:ascii="Times New Roman" w:hAnsi="Times New Roman" w:eastAsia="宋体" w:cs="Times New Roman"/>
          <w:lang w:eastAsia="zh-CN"/>
        </w:rPr>
        <w:t>.8</w:t>
      </w:r>
      <w:r>
        <w:rPr>
          <w:rFonts w:ascii="Times New Roman" w:hAnsi="Times New Roman" w:eastAsia="宋体" w:cs="Times New Roman"/>
          <w:lang w:eastAsia="zh-CN"/>
        </w:rPr>
        <w:t xml:space="preserve"> </w:t>
      </w:r>
      <w:r>
        <w:rPr>
          <w:rFonts w:hint="eastAsia" w:ascii="Times New Roman" w:hAnsi="Times New Roman" w:eastAsia="宋体" w:cs="Times New Roman"/>
          <w:lang w:eastAsia="zh-CN"/>
        </w:rPr>
        <w:t>生物安全要求</w:t>
      </w:r>
    </w:p>
    <w:p w14:paraId="68735BAA">
      <w:pPr>
        <w:spacing w:line="300" w:lineRule="auto"/>
        <w:ind w:firstLine="420" w:firstLineChars="200"/>
        <w:contextualSpacing/>
        <w:jc w:val="both"/>
        <w:rPr>
          <w:rFonts w:ascii="Times New Roman" w:hAnsi="Times New Roman" w:eastAsia="宋体" w:cs="Times New Roman"/>
          <w:lang w:eastAsia="zh-CN"/>
        </w:rPr>
        <w:sectPr>
          <w:pgSz w:w="11906" w:h="16838"/>
          <w:pgMar w:top="1440" w:right="1800" w:bottom="1440" w:left="1800" w:header="0" w:footer="0" w:gutter="0"/>
          <w:cols w:space="720" w:num="1"/>
          <w:docGrid w:linePitch="286" w:charSpace="0"/>
        </w:sectPr>
      </w:pPr>
      <w:r>
        <w:rPr>
          <w:rFonts w:hint="eastAsia" w:ascii="Times New Roman" w:hAnsi="Times New Roman" w:eastAsia="宋体" w:cs="Times New Roman"/>
          <w:lang w:eastAsia="zh-CN"/>
        </w:rPr>
        <w:t>实验室设施设备、人员防护及实验的安全操作、实验废弃物和菌种的处理应符合GB 19489的要求。</w:t>
      </w:r>
    </w:p>
    <w:p w14:paraId="3FCF5F4A">
      <w:pPr>
        <w:widowControl w:val="0"/>
        <w:kinsoku/>
        <w:autoSpaceDE/>
        <w:autoSpaceDN/>
        <w:adjustRightInd/>
        <w:snapToGrid/>
        <w:spacing w:before="156" w:beforeLines="50" w:after="156" w:afterLines="50" w:line="360" w:lineRule="auto"/>
        <w:jc w:val="center"/>
        <w:textAlignment w:val="auto"/>
        <w:rPr>
          <w:rFonts w:ascii="Times New Roman" w:hAnsi="Times New Roman" w:eastAsia="黑体" w:cs="Times New Roman"/>
          <w:snapToGrid/>
          <w:lang w:val="zh-CN" w:eastAsia="zh-CN" w:bidi="ar"/>
        </w:rPr>
      </w:pPr>
      <w:r>
        <w:rPr>
          <w:rFonts w:hint="eastAsia" w:ascii="Times New Roman" w:hAnsi="Times New Roman" w:eastAsia="黑体" w:cs="Times New Roman"/>
          <w:snapToGrid/>
          <w:lang w:val="zh-CN" w:eastAsia="zh-CN" w:bidi="ar"/>
        </w:rPr>
        <w:t>附录</w:t>
      </w:r>
      <w:r>
        <w:rPr>
          <w:rFonts w:ascii="Times New Roman" w:hAnsi="Times New Roman" w:eastAsia="黑体" w:cs="Times New Roman"/>
          <w:snapToGrid/>
          <w:lang w:val="zh-CN" w:eastAsia="zh-CN" w:bidi="ar"/>
        </w:rPr>
        <w:t>B</w:t>
      </w:r>
    </w:p>
    <w:p w14:paraId="678B2DDD">
      <w:pPr>
        <w:widowControl w:val="0"/>
        <w:kinsoku/>
        <w:autoSpaceDE/>
        <w:autoSpaceDN/>
        <w:adjustRightInd/>
        <w:snapToGrid/>
        <w:spacing w:before="156" w:beforeLines="50" w:after="156" w:afterLines="50" w:line="360" w:lineRule="auto"/>
        <w:jc w:val="center"/>
        <w:textAlignment w:val="auto"/>
        <w:rPr>
          <w:rFonts w:ascii="Times New Roman" w:hAnsi="Times New Roman" w:eastAsia="黑体" w:cs="Times New Roman"/>
          <w:snapToGrid/>
          <w:lang w:val="zh-CN" w:eastAsia="zh-CN" w:bidi="ar"/>
        </w:rPr>
      </w:pPr>
      <w:bookmarkStart w:id="4" w:name="OLE_LINK4"/>
      <w:r>
        <w:rPr>
          <w:rFonts w:hint="eastAsia" w:ascii="Times New Roman" w:hAnsi="Times New Roman" w:eastAsia="黑体" w:cs="Times New Roman"/>
          <w:snapToGrid/>
          <w:lang w:val="zh-CN" w:eastAsia="zh-CN" w:bidi="ar"/>
        </w:rPr>
        <w:t>产气荚膜梭菌</w:t>
      </w:r>
      <w:r>
        <w:rPr>
          <w:rFonts w:ascii="Times New Roman" w:hAnsi="Times New Roman" w:eastAsia="黑体" w:cs="Times New Roman"/>
          <w:i/>
          <w:iCs/>
          <w:snapToGrid/>
          <w:lang w:val="zh-CN" w:eastAsia="zh-CN" w:bidi="ar"/>
        </w:rPr>
        <w:t xml:space="preserve">plc </w:t>
      </w:r>
      <w:r>
        <w:rPr>
          <w:rFonts w:hint="eastAsia" w:ascii="Times New Roman" w:hAnsi="Times New Roman" w:eastAsia="黑体" w:cs="Times New Roman"/>
          <w:snapToGrid/>
          <w:lang w:val="zh-CN" w:eastAsia="zh-CN" w:bidi="ar"/>
        </w:rPr>
        <w:t>基因和</w:t>
      </w:r>
      <w:r>
        <w:rPr>
          <w:rFonts w:ascii="Times New Roman" w:hAnsi="Times New Roman" w:eastAsia="黑体" w:cs="Times New Roman"/>
          <w:snapToGrid/>
          <w:lang w:val="zh-CN" w:eastAsia="zh-CN" w:bidi="ar"/>
        </w:rPr>
        <w:t xml:space="preserve"> </w:t>
      </w:r>
      <w:r>
        <w:rPr>
          <w:rFonts w:ascii="Times New Roman" w:hAnsi="Times New Roman" w:eastAsia="黑体" w:cs="Times New Roman"/>
          <w:i/>
          <w:iCs/>
          <w:snapToGrid/>
          <w:lang w:val="zh-CN" w:eastAsia="zh-CN" w:bidi="ar"/>
        </w:rPr>
        <w:t>cpe</w:t>
      </w:r>
      <w:r>
        <w:rPr>
          <w:rFonts w:hint="eastAsia" w:ascii="Times New Roman" w:hAnsi="Times New Roman" w:eastAsia="黑体" w:cs="Times New Roman"/>
          <w:snapToGrid/>
          <w:lang w:val="zh-CN" w:eastAsia="zh-CN" w:bidi="ar"/>
        </w:rPr>
        <w:t>基因实时荧光PCR检测方法</w:t>
      </w:r>
    </w:p>
    <w:p w14:paraId="34638DD6">
      <w:pPr>
        <w:spacing w:line="300" w:lineRule="auto"/>
        <w:contextualSpacing/>
        <w:jc w:val="center"/>
        <w:rPr>
          <w:rFonts w:ascii="Times New Roman" w:hAnsi="Times New Roman" w:eastAsia="宋体" w:cs="Times New Roman"/>
          <w:b/>
          <w:bCs/>
          <w:lang w:eastAsia="zh-CN" w:bidi="ar"/>
        </w:rPr>
      </w:pPr>
    </w:p>
    <w:bookmarkEnd w:id="4"/>
    <w:p w14:paraId="0F8D01FD">
      <w:pPr>
        <w:spacing w:after="0" w:line="320" w:lineRule="exact"/>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B.1 适用范围</w:t>
      </w:r>
    </w:p>
    <w:p w14:paraId="7AD836F8">
      <w:pPr>
        <w:spacing w:after="0" w:line="320" w:lineRule="exact"/>
        <w:ind w:firstLine="420" w:firstLineChars="200"/>
        <w:contextualSpacing/>
        <w:jc w:val="both"/>
        <w:rPr>
          <w:rFonts w:ascii="Times New Roman" w:hAnsi="Times New Roman" w:eastAsia="宋体" w:cs="Times New Roman"/>
          <w:lang w:eastAsia="zh-CN"/>
        </w:rPr>
      </w:pPr>
      <w:r>
        <w:rPr>
          <w:rFonts w:hint="eastAsia" w:ascii="Times New Roman" w:hAnsi="Times New Roman" w:eastAsia="宋体" w:cs="Times New Roman"/>
          <w:lang w:eastAsia="zh-CN"/>
        </w:rPr>
        <w:t>本方法适用于产气荚膜梭菌纯培养物中</w:t>
      </w:r>
      <w:r>
        <w:rPr>
          <w:rFonts w:ascii="Times New Roman" w:hAnsi="Times New Roman" w:eastAsia="宋体" w:cs="Times New Roman"/>
          <w:i/>
          <w:iCs/>
          <w:lang w:eastAsia="zh-CN"/>
        </w:rPr>
        <w:t>plc</w:t>
      </w:r>
      <w:r>
        <w:rPr>
          <w:rFonts w:hint="eastAsia" w:ascii="Times New Roman" w:hAnsi="Times New Roman" w:eastAsia="宋体" w:cs="Times New Roman"/>
          <w:lang w:eastAsia="zh-CN"/>
        </w:rPr>
        <w:t>及</w:t>
      </w:r>
      <w:r>
        <w:rPr>
          <w:rFonts w:ascii="Times New Roman" w:hAnsi="Times New Roman" w:eastAsia="宋体" w:cs="Times New Roman"/>
          <w:i/>
          <w:iCs/>
          <w:lang w:eastAsia="zh-CN"/>
        </w:rPr>
        <w:t>cpe</w:t>
      </w:r>
      <w:r>
        <w:rPr>
          <w:rFonts w:hint="eastAsia" w:ascii="Times New Roman" w:hAnsi="Times New Roman" w:eastAsia="宋体" w:cs="Times New Roman"/>
          <w:lang w:eastAsia="zh-CN"/>
        </w:rPr>
        <w:t>基因检测，不适用于粪便、肛拭子等生物标本的直接检测。</w:t>
      </w:r>
    </w:p>
    <w:p w14:paraId="764E6A14">
      <w:pPr>
        <w:spacing w:after="0" w:line="320" w:lineRule="exact"/>
        <w:contextualSpacing/>
        <w:jc w:val="both"/>
        <w:rPr>
          <w:rFonts w:ascii="Times New Roman" w:hAnsi="Times New Roman" w:eastAsia="宋体" w:cs="Times New Roman"/>
          <w:lang w:eastAsia="zh-CN"/>
        </w:rPr>
      </w:pPr>
      <w:r>
        <w:rPr>
          <w:rFonts w:ascii="Times New Roman" w:hAnsi="Times New Roman" w:eastAsia="宋体" w:cs="Times New Roman"/>
          <w:lang w:eastAsia="zh-CN"/>
        </w:rPr>
        <w:t>B.2</w:t>
      </w:r>
      <w:r>
        <w:rPr>
          <w:rFonts w:hint="eastAsia" w:ascii="Times New Roman" w:hAnsi="Times New Roman" w:eastAsia="宋体" w:cs="Times New Roman"/>
          <w:lang w:eastAsia="zh-CN"/>
        </w:rPr>
        <w:t xml:space="preserve"> 扩增模板的制备</w:t>
      </w:r>
    </w:p>
    <w:p w14:paraId="37750C45">
      <w:pPr>
        <w:spacing w:after="0" w:line="320" w:lineRule="exact"/>
        <w:ind w:firstLine="420" w:firstLineChars="200"/>
        <w:contextualSpacing/>
        <w:jc w:val="both"/>
        <w:rPr>
          <w:rFonts w:ascii="Times New Roman" w:hAnsi="Times New Roman" w:eastAsia="宋体" w:cs="Times New Roman"/>
          <w:lang w:eastAsia="zh-CN" w:bidi="ar"/>
        </w:rPr>
      </w:pPr>
      <w:r>
        <w:rPr>
          <w:rFonts w:hint="eastAsia" w:ascii="Times New Roman" w:hAnsi="Times New Roman" w:eastAsia="宋体" w:cs="Times New Roman"/>
          <w:lang w:eastAsia="zh-CN" w:bidi="ar"/>
        </w:rPr>
        <w:t>将产气荚膜梭菌纯培养物接种至脑心浸液肉汤中，</w:t>
      </w:r>
      <w:r>
        <w:rPr>
          <w:rFonts w:ascii="Times New Roman" w:hAnsi="Times New Roman" w:eastAsia="宋体" w:cs="Times New Roman"/>
          <w:lang w:eastAsia="zh-CN" w:bidi="ar"/>
        </w:rPr>
        <w:t>36</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±1</w:t>
      </w:r>
      <w:r>
        <w:rPr>
          <w:rFonts w:hint="eastAsia" w:ascii="Times New Roman" w:hAnsi="Times New Roman" w:eastAsia="宋体" w:cs="Times New Roman"/>
          <w:lang w:eastAsia="zh-CN" w:bidi="ar"/>
        </w:rPr>
        <w:t xml:space="preserve"> ℃培养过夜，均质后取 </w:t>
      </w:r>
      <w:r>
        <w:rPr>
          <w:rFonts w:ascii="Times New Roman" w:hAnsi="Times New Roman" w:eastAsia="宋体" w:cs="Times New Roman"/>
          <w:lang w:eastAsia="zh-CN" w:bidi="ar"/>
        </w:rPr>
        <w:t>1.4</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 xml:space="preserve">mL </w:t>
      </w:r>
      <w:r>
        <w:rPr>
          <w:rFonts w:hint="eastAsia" w:ascii="Times New Roman" w:hAnsi="Times New Roman" w:eastAsia="宋体" w:cs="Times New Roman"/>
          <w:lang w:eastAsia="zh-CN" w:bidi="ar"/>
        </w:rPr>
        <w:t>培养液至无菌离心管中，</w:t>
      </w:r>
      <w:r>
        <w:rPr>
          <w:rFonts w:ascii="Times New Roman" w:hAnsi="Times New Roman" w:eastAsia="宋体" w:cs="Times New Roman"/>
          <w:lang w:eastAsia="zh-CN" w:bidi="ar"/>
        </w:rPr>
        <w:t>14000</w:t>
      </w:r>
      <w:r>
        <w:rPr>
          <w:rFonts w:hint="eastAsia" w:ascii="Times New Roman" w:hAnsi="Times New Roman" w:eastAsia="宋体" w:cs="Times New Roman"/>
          <w:lang w:eastAsia="zh-CN" w:bidi="ar"/>
        </w:rPr>
        <w:t xml:space="preserve"> g离心</w:t>
      </w:r>
      <w:r>
        <w:rPr>
          <w:rFonts w:ascii="Times New Roman" w:hAnsi="Times New Roman" w:eastAsia="宋体" w:cs="Times New Roman"/>
          <w:lang w:eastAsia="zh-CN" w:bidi="ar"/>
        </w:rPr>
        <w:t xml:space="preserve"> 2</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min</w:t>
      </w:r>
      <w:r>
        <w:rPr>
          <w:rFonts w:hint="eastAsia" w:ascii="Times New Roman" w:hAnsi="Times New Roman" w:eastAsia="宋体" w:cs="Times New Roman"/>
          <w:lang w:eastAsia="zh-CN" w:bidi="ar"/>
        </w:rPr>
        <w:t xml:space="preserve">，弃上清，加入 </w:t>
      </w:r>
      <w:r>
        <w:rPr>
          <w:rFonts w:ascii="Times New Roman" w:hAnsi="Times New Roman" w:eastAsia="宋体" w:cs="Times New Roman"/>
          <w:lang w:eastAsia="zh-CN" w:bidi="ar"/>
        </w:rPr>
        <w:t>1.0</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mL PBS</w:t>
      </w:r>
      <w:r>
        <w:rPr>
          <w:rFonts w:hint="eastAsia" w:ascii="Times New Roman" w:hAnsi="Times New Roman" w:eastAsia="宋体" w:cs="Times New Roman"/>
          <w:lang w:eastAsia="zh-CN" w:bidi="ar"/>
        </w:rPr>
        <w:t>振荡混匀后，14000 g 离心</w:t>
      </w:r>
      <w:r>
        <w:rPr>
          <w:rFonts w:ascii="Times New Roman" w:hAnsi="Times New Roman" w:eastAsia="宋体" w:cs="Times New Roman"/>
          <w:lang w:eastAsia="zh-CN" w:bidi="ar"/>
        </w:rPr>
        <w:t xml:space="preserve"> 2</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min</w:t>
      </w:r>
      <w:r>
        <w:rPr>
          <w:rFonts w:hint="eastAsia" w:ascii="Times New Roman" w:hAnsi="Times New Roman" w:eastAsia="宋体" w:cs="Times New Roman"/>
          <w:lang w:eastAsia="zh-CN" w:bidi="ar"/>
        </w:rPr>
        <w:t xml:space="preserve">，弃上清，加入 </w:t>
      </w:r>
      <w:r>
        <w:rPr>
          <w:rFonts w:ascii="Times New Roman" w:hAnsi="Times New Roman" w:eastAsia="宋体" w:cs="Times New Roman"/>
          <w:lang w:eastAsia="zh-CN" w:bidi="ar"/>
        </w:rPr>
        <w:t>400</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μL PBS</w:t>
      </w:r>
      <w:r>
        <w:rPr>
          <w:rFonts w:hint="eastAsia" w:ascii="Times New Roman" w:hAnsi="Times New Roman" w:eastAsia="宋体" w:cs="Times New Roman"/>
          <w:lang w:eastAsia="zh-CN" w:bidi="ar"/>
        </w:rPr>
        <w:t xml:space="preserve">，振荡混匀，加入 </w:t>
      </w:r>
      <w:r>
        <w:rPr>
          <w:rFonts w:ascii="Times New Roman" w:hAnsi="Times New Roman" w:eastAsia="宋体" w:cs="Times New Roman"/>
          <w:lang w:eastAsia="zh-CN" w:bidi="ar"/>
        </w:rPr>
        <w:t>10</w:t>
      </w:r>
      <w:r>
        <w:rPr>
          <w:rFonts w:hint="eastAsia" w:ascii="Times New Roman" w:hAnsi="Times New Roman" w:eastAsia="宋体" w:cs="Times New Roman"/>
          <w:lang w:eastAsia="zh-CN" w:bidi="ar"/>
        </w:rPr>
        <w:t xml:space="preserve"> mg/mL溶菌酶溶液</w:t>
      </w:r>
      <w:r>
        <w:rPr>
          <w:rFonts w:ascii="Times New Roman" w:hAnsi="Times New Roman" w:eastAsia="宋体" w:cs="Times New Roman"/>
          <w:lang w:eastAsia="zh-CN" w:bidi="ar"/>
        </w:rPr>
        <w:t xml:space="preserve"> 100</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μL</w:t>
      </w:r>
      <w:r>
        <w:rPr>
          <w:rFonts w:hint="eastAsia" w:ascii="Times New Roman" w:hAnsi="Times New Roman" w:eastAsia="宋体" w:cs="Times New Roman"/>
          <w:lang w:eastAsia="zh-CN" w:bidi="ar"/>
        </w:rPr>
        <w:t>，摇匀，</w:t>
      </w:r>
      <w:r>
        <w:rPr>
          <w:rFonts w:ascii="Times New Roman" w:hAnsi="Times New Roman" w:eastAsia="宋体" w:cs="Times New Roman"/>
          <w:lang w:eastAsia="zh-CN" w:bidi="ar"/>
        </w:rPr>
        <w:t>36</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±1</w:t>
      </w:r>
      <w:r>
        <w:rPr>
          <w:rFonts w:hint="eastAsia" w:ascii="Times New Roman" w:hAnsi="Times New Roman" w:eastAsia="宋体" w:cs="Times New Roman"/>
          <w:lang w:eastAsia="zh-CN" w:bidi="ar"/>
        </w:rPr>
        <w:t xml:space="preserve"> </w:t>
      </w:r>
      <w:r>
        <w:rPr>
          <w:rFonts w:hint="eastAsia" w:ascii="Times New Roman" w:hAnsi="Times New Roman" w:eastAsia="宋体" w:cs="Times New Roman"/>
          <w:lang w:eastAsia="zh-CN"/>
        </w:rPr>
        <w:t>℃</w:t>
      </w:r>
      <w:r>
        <w:rPr>
          <w:rFonts w:hint="eastAsia" w:ascii="Times New Roman" w:hAnsi="Times New Roman" w:eastAsia="宋体" w:cs="Times New Roman"/>
          <w:lang w:eastAsia="zh-CN" w:bidi="ar"/>
        </w:rPr>
        <w:t xml:space="preserve">恒温15 </w:t>
      </w:r>
      <w:r>
        <w:rPr>
          <w:rFonts w:ascii="Times New Roman" w:hAnsi="Times New Roman" w:eastAsia="宋体" w:cs="Times New Roman"/>
          <w:lang w:eastAsia="zh-CN" w:bidi="ar"/>
        </w:rPr>
        <w:t>min</w:t>
      </w:r>
      <w:r>
        <w:rPr>
          <w:rFonts w:hint="eastAsia" w:ascii="Times New Roman" w:hAnsi="Times New Roman" w:eastAsia="宋体" w:cs="Times New Roman"/>
          <w:lang w:eastAsia="zh-CN" w:bidi="ar"/>
        </w:rPr>
        <w:t xml:space="preserve">，加入10 mg/mL蛋白酶K溶液10 </w:t>
      </w:r>
      <w:r>
        <w:rPr>
          <w:rFonts w:ascii="Times New Roman" w:hAnsi="Times New Roman" w:eastAsia="宋体" w:cs="Times New Roman"/>
          <w:lang w:eastAsia="zh-CN" w:bidi="ar"/>
        </w:rPr>
        <w:t>μL</w:t>
      </w:r>
      <w:r>
        <w:rPr>
          <w:rFonts w:hint="eastAsia" w:ascii="Times New Roman" w:hAnsi="Times New Roman" w:eastAsia="宋体" w:cs="Times New Roman"/>
          <w:lang w:eastAsia="zh-CN" w:bidi="ar"/>
        </w:rPr>
        <w:t>，摇匀，</w:t>
      </w:r>
      <w:r>
        <w:rPr>
          <w:rFonts w:ascii="Times New Roman" w:hAnsi="Times New Roman" w:eastAsia="宋体" w:cs="Times New Roman"/>
          <w:lang w:eastAsia="zh-CN" w:bidi="ar"/>
        </w:rPr>
        <w:t>60</w:t>
      </w:r>
      <w:r>
        <w:rPr>
          <w:rFonts w:hint="eastAsia" w:ascii="Times New Roman" w:hAnsi="Times New Roman" w:eastAsia="宋体" w:cs="Times New Roman"/>
          <w:lang w:eastAsia="zh-CN" w:bidi="ar"/>
        </w:rPr>
        <w:t xml:space="preserve"> </w:t>
      </w:r>
      <w:r>
        <w:rPr>
          <w:rFonts w:hint="eastAsia" w:ascii="Times New Roman" w:hAnsi="Times New Roman" w:eastAsia="宋体" w:cs="Times New Roman"/>
          <w:lang w:eastAsia="zh-CN"/>
        </w:rPr>
        <w:t>℃</w:t>
      </w:r>
      <w:r>
        <w:rPr>
          <w:rFonts w:ascii="Times New Roman" w:hAnsi="Times New Roman" w:eastAsia="宋体" w:cs="Times New Roman"/>
          <w:lang w:eastAsia="zh-CN" w:bidi="ar"/>
        </w:rPr>
        <w:t>±1</w:t>
      </w:r>
      <w:r>
        <w:rPr>
          <w:rFonts w:hint="eastAsia" w:ascii="Times New Roman" w:hAnsi="Times New Roman" w:eastAsia="宋体" w:cs="Times New Roman"/>
          <w:lang w:eastAsia="zh-CN" w:bidi="ar"/>
        </w:rPr>
        <w:t xml:space="preserve"> </w:t>
      </w:r>
      <w:r>
        <w:rPr>
          <w:rFonts w:hint="eastAsia" w:ascii="Times New Roman" w:hAnsi="Times New Roman" w:eastAsia="宋体" w:cs="Times New Roman"/>
          <w:lang w:eastAsia="zh-CN"/>
        </w:rPr>
        <w:t>℃</w:t>
      </w:r>
      <w:r>
        <w:rPr>
          <w:rFonts w:hint="eastAsia" w:ascii="Times New Roman" w:hAnsi="Times New Roman" w:eastAsia="宋体" w:cs="Times New Roman"/>
          <w:lang w:eastAsia="zh-CN" w:bidi="ar"/>
        </w:rPr>
        <w:t xml:space="preserve">恒温1 </w:t>
      </w:r>
      <w:r>
        <w:rPr>
          <w:rFonts w:ascii="Times New Roman" w:hAnsi="Times New Roman" w:eastAsia="宋体" w:cs="Times New Roman"/>
          <w:lang w:eastAsia="zh-CN" w:bidi="ar"/>
        </w:rPr>
        <w:t>h</w:t>
      </w:r>
      <w:r>
        <w:rPr>
          <w:rFonts w:hint="eastAsia" w:ascii="Times New Roman" w:hAnsi="Times New Roman" w:eastAsia="宋体" w:cs="Times New Roman"/>
          <w:lang w:eastAsia="zh-CN" w:bidi="ar"/>
        </w:rPr>
        <w:t>， 100 ℃恒温放置</w:t>
      </w:r>
      <w:r>
        <w:rPr>
          <w:rFonts w:ascii="Times New Roman" w:hAnsi="Times New Roman" w:eastAsia="宋体" w:cs="Times New Roman"/>
          <w:lang w:eastAsia="zh-CN" w:bidi="ar"/>
        </w:rPr>
        <w:t xml:space="preserve"> 10</w:t>
      </w:r>
      <w:r>
        <w:rPr>
          <w:rFonts w:hint="eastAsia" w:ascii="Times New Roman" w:hAnsi="Times New Roman" w:eastAsia="宋体" w:cs="Times New Roman"/>
          <w:lang w:eastAsia="zh-CN" w:bidi="ar"/>
        </w:rPr>
        <w:t xml:space="preserve"> min后</w:t>
      </w:r>
      <w:r>
        <w:rPr>
          <w:rFonts w:ascii="Times New Roman" w:hAnsi="Times New Roman" w:eastAsia="宋体" w:cs="Times New Roman"/>
          <w:lang w:eastAsia="zh-CN" w:bidi="ar"/>
        </w:rPr>
        <w:t xml:space="preserve"> 14000</w:t>
      </w:r>
      <w:r>
        <w:rPr>
          <w:rFonts w:hint="eastAsia" w:ascii="Times New Roman" w:hAnsi="Times New Roman" w:eastAsia="宋体" w:cs="Times New Roman"/>
          <w:lang w:eastAsia="zh-CN" w:bidi="ar"/>
        </w:rPr>
        <w:t xml:space="preserve"> g离心</w:t>
      </w:r>
      <w:r>
        <w:rPr>
          <w:rFonts w:ascii="Times New Roman" w:hAnsi="Times New Roman" w:eastAsia="宋体" w:cs="Times New Roman"/>
          <w:lang w:eastAsia="zh-CN" w:bidi="ar"/>
        </w:rPr>
        <w:t xml:space="preserve"> 2</w:t>
      </w:r>
      <w:r>
        <w:rPr>
          <w:rFonts w:hint="eastAsia" w:ascii="Times New Roman" w:hAnsi="Times New Roman" w:eastAsia="宋体" w:cs="Times New Roman"/>
          <w:lang w:eastAsia="zh-CN" w:bidi="ar"/>
        </w:rPr>
        <w:t xml:space="preserve"> </w:t>
      </w:r>
      <w:r>
        <w:rPr>
          <w:rFonts w:ascii="Times New Roman" w:hAnsi="Times New Roman" w:eastAsia="宋体" w:cs="Times New Roman"/>
          <w:lang w:eastAsia="zh-CN" w:bidi="ar"/>
        </w:rPr>
        <w:t>min</w:t>
      </w:r>
      <w:r>
        <w:rPr>
          <w:rFonts w:hint="eastAsia" w:ascii="Times New Roman" w:hAnsi="Times New Roman" w:eastAsia="宋体" w:cs="Times New Roman"/>
          <w:lang w:eastAsia="zh-CN" w:bidi="ar"/>
        </w:rPr>
        <w:t xml:space="preserve">，上清液转移至无菌小离心管中，加入 3 </w:t>
      </w:r>
      <w:r>
        <w:rPr>
          <w:rFonts w:ascii="Times New Roman" w:hAnsi="Times New Roman" w:eastAsia="宋体" w:cs="Times New Roman"/>
          <w:lang w:eastAsia="zh-CN" w:bidi="ar"/>
        </w:rPr>
        <w:t>mol</w:t>
      </w:r>
      <w:r>
        <w:rPr>
          <w:rFonts w:hint="eastAsia" w:ascii="Times New Roman" w:hAnsi="Times New Roman" w:eastAsia="宋体" w:cs="Times New Roman"/>
          <w:lang w:eastAsia="zh-CN" w:bidi="ar"/>
        </w:rPr>
        <w:t>/L乙酸钠溶液50</w:t>
      </w:r>
      <w:r>
        <w:rPr>
          <w:rFonts w:hint="eastAsia" w:ascii="Times New Roman" w:hAnsi="Times New Roman" w:eastAsia="宋体" w:cs="Times New Roman"/>
          <w:snapToGrid/>
          <w:color w:val="auto"/>
          <w:lang w:eastAsia="zh-CN" w:bidi="ar"/>
        </w:rPr>
        <w:t xml:space="preserve">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lang w:eastAsia="zh-CN" w:bidi="ar"/>
        </w:rPr>
        <w:t xml:space="preserve">L和95%乙醇1.0 </w:t>
      </w:r>
      <w:r>
        <w:rPr>
          <w:rFonts w:ascii="Times New Roman" w:hAnsi="Times New Roman" w:eastAsia="宋体" w:cs="Times New Roman"/>
          <w:lang w:eastAsia="zh-CN" w:bidi="ar"/>
        </w:rPr>
        <w:t>mL</w:t>
      </w:r>
      <w:r>
        <w:rPr>
          <w:rFonts w:hint="eastAsia" w:ascii="Times New Roman" w:hAnsi="Times New Roman" w:eastAsia="宋体" w:cs="Times New Roman"/>
          <w:lang w:eastAsia="zh-CN" w:bidi="ar"/>
        </w:rPr>
        <w:t xml:space="preserve">，摇匀，- 80 </w:t>
      </w:r>
      <w:r>
        <w:rPr>
          <w:rFonts w:hint="eastAsia" w:ascii="Times New Roman" w:hAnsi="Times New Roman" w:eastAsia="宋体" w:cs="Times New Roman"/>
          <w:lang w:eastAsia="zh-CN"/>
        </w:rPr>
        <w:t>℃</w:t>
      </w:r>
      <w:r>
        <w:rPr>
          <w:rFonts w:hint="eastAsia" w:ascii="Times New Roman" w:hAnsi="Times New Roman" w:eastAsia="宋体" w:cs="Times New Roman"/>
          <w:lang w:eastAsia="zh-CN" w:bidi="ar"/>
        </w:rPr>
        <w:t xml:space="preserve"> 或 - 20 </w:t>
      </w:r>
      <w:r>
        <w:rPr>
          <w:rFonts w:hint="eastAsia" w:ascii="Times New Roman" w:hAnsi="Times New Roman" w:eastAsia="宋体" w:cs="Times New Roman"/>
          <w:lang w:eastAsia="zh-CN"/>
        </w:rPr>
        <w:t>℃</w:t>
      </w:r>
      <w:r>
        <w:rPr>
          <w:rFonts w:hint="eastAsia" w:ascii="Times New Roman" w:hAnsi="Times New Roman" w:eastAsia="宋体" w:cs="Times New Roman"/>
          <w:lang w:eastAsia="zh-CN" w:bidi="ar"/>
        </w:rPr>
        <w:t xml:space="preserve">放置 30 </w:t>
      </w:r>
      <w:r>
        <w:rPr>
          <w:rFonts w:ascii="Times New Roman" w:hAnsi="Times New Roman" w:eastAsia="宋体" w:cs="Times New Roman"/>
          <w:lang w:eastAsia="zh-CN" w:bidi="ar"/>
        </w:rPr>
        <w:t xml:space="preserve">min </w:t>
      </w:r>
      <w:r>
        <w:rPr>
          <w:rFonts w:hint="eastAsia" w:ascii="Times New Roman" w:hAnsi="Times New Roman" w:eastAsia="宋体" w:cs="Times New Roman"/>
          <w:lang w:eastAsia="zh-CN" w:bidi="ar"/>
        </w:rPr>
        <w:t>，</w:t>
      </w:r>
      <w:r>
        <w:rPr>
          <w:rFonts w:ascii="Times New Roman" w:hAnsi="Times New Roman" w:eastAsia="宋体" w:cs="Times New Roman"/>
          <w:lang w:eastAsia="zh-CN" w:bidi="ar"/>
        </w:rPr>
        <w:t>14000</w:t>
      </w:r>
      <w:r>
        <w:rPr>
          <w:rFonts w:hint="eastAsia" w:ascii="Times New Roman" w:hAnsi="Times New Roman" w:eastAsia="宋体" w:cs="Times New Roman"/>
          <w:lang w:eastAsia="zh-CN" w:bidi="ar"/>
        </w:rPr>
        <w:t xml:space="preserve"> g离心 10 </w:t>
      </w:r>
      <w:r>
        <w:rPr>
          <w:rFonts w:ascii="Times New Roman" w:hAnsi="Times New Roman" w:eastAsia="宋体" w:cs="Times New Roman"/>
          <w:lang w:eastAsia="zh-CN" w:bidi="ar"/>
        </w:rPr>
        <w:t xml:space="preserve">min </w:t>
      </w:r>
      <w:r>
        <w:rPr>
          <w:rFonts w:hint="eastAsia" w:ascii="Times New Roman" w:hAnsi="Times New Roman" w:eastAsia="宋体" w:cs="Times New Roman"/>
          <w:lang w:eastAsia="zh-CN" w:bidi="ar"/>
        </w:rPr>
        <w:t xml:space="preserve">，弃去上清液，沉淀干燥后溶于 200 </w:t>
      </w:r>
      <w:r>
        <w:rPr>
          <w:rFonts w:ascii="Times New Roman" w:hAnsi="Times New Roman" w:eastAsia="宋体" w:cs="Times New Roman"/>
          <w:lang w:eastAsia="zh-CN" w:bidi="ar"/>
        </w:rPr>
        <w:t xml:space="preserve">μL </w:t>
      </w:r>
      <w:r>
        <w:rPr>
          <w:rFonts w:hint="eastAsia" w:ascii="Times New Roman" w:hAnsi="Times New Roman" w:eastAsia="宋体" w:cs="Times New Roman"/>
          <w:lang w:eastAsia="zh-CN" w:bidi="ar"/>
        </w:rPr>
        <w:t>TE缓冲液，为</w:t>
      </w:r>
      <w:r>
        <w:rPr>
          <w:rFonts w:ascii="Times New Roman" w:hAnsi="Times New Roman" w:eastAsia="宋体" w:cs="Times New Roman"/>
          <w:lang w:eastAsia="zh-CN" w:bidi="ar"/>
        </w:rPr>
        <w:t xml:space="preserve"> DNA</w:t>
      </w:r>
      <w:r>
        <w:rPr>
          <w:rFonts w:hint="eastAsia" w:ascii="Times New Roman" w:hAnsi="Times New Roman" w:eastAsia="宋体" w:cs="Times New Roman"/>
          <w:lang w:eastAsia="zh-CN" w:bidi="ar"/>
        </w:rPr>
        <w:t>模板备用。</w:t>
      </w:r>
    </w:p>
    <w:p w14:paraId="64A0FA33">
      <w:pPr>
        <w:spacing w:after="0" w:line="320" w:lineRule="exact"/>
        <w:contextualSpacing/>
        <w:jc w:val="both"/>
        <w:rPr>
          <w:rFonts w:ascii="Times New Roman" w:hAnsi="Times New Roman" w:eastAsia="宋体" w:cs="Times New Roman"/>
          <w:lang w:eastAsia="zh-CN" w:bidi="ar"/>
        </w:rPr>
      </w:pPr>
      <w:r>
        <w:rPr>
          <w:rFonts w:hint="eastAsia" w:ascii="Times New Roman" w:hAnsi="Times New Roman" w:eastAsia="宋体" w:cs="Times New Roman"/>
          <w:lang w:eastAsia="zh-CN" w:bidi="ar"/>
        </w:rPr>
        <w:t>注：产气荚膜梭菌 DNA提取不建议使用热裂解法，根据实验室实际情况，可采用商品化试剂盒制备 DNA模板。</w:t>
      </w:r>
    </w:p>
    <w:p w14:paraId="751DE955">
      <w:pPr>
        <w:spacing w:after="0" w:line="320" w:lineRule="exact"/>
        <w:contextualSpacing/>
        <w:jc w:val="both"/>
        <w:rPr>
          <w:rFonts w:ascii="Times New Roman" w:hAnsi="Times New Roman" w:eastAsia="宋体" w:cs="Times New Roman"/>
          <w:lang w:eastAsia="zh-CN" w:bidi="ar"/>
        </w:rPr>
      </w:pPr>
      <w:r>
        <w:rPr>
          <w:rFonts w:ascii="Times New Roman" w:hAnsi="Times New Roman" w:eastAsia="宋体" w:cs="Times New Roman"/>
          <w:lang w:eastAsia="zh-CN" w:bidi="ar"/>
        </w:rPr>
        <w:t>B.3</w:t>
      </w:r>
      <w:r>
        <w:rPr>
          <w:rFonts w:hint="eastAsia" w:ascii="Times New Roman" w:hAnsi="Times New Roman" w:eastAsia="宋体" w:cs="Times New Roman"/>
          <w:lang w:eastAsia="zh-CN" w:bidi="ar"/>
        </w:rPr>
        <w:t xml:space="preserve"> 引物及探针</w:t>
      </w:r>
    </w:p>
    <w:p w14:paraId="48A65E1C">
      <w:pPr>
        <w:spacing w:after="0" w:line="320" w:lineRule="exact"/>
        <w:ind w:firstLine="420" w:firstLineChars="200"/>
        <w:contextualSpacing/>
        <w:rPr>
          <w:rFonts w:ascii="Times New Roman" w:hAnsi="Times New Roman" w:eastAsia="宋体" w:cs="Times New Roman"/>
          <w:lang w:eastAsia="zh-CN" w:bidi="ar"/>
        </w:rPr>
      </w:pPr>
      <w:r>
        <w:rPr>
          <w:rFonts w:hint="eastAsia" w:ascii="Times New Roman" w:hAnsi="Times New Roman" w:eastAsia="宋体" w:cs="Times New Roman"/>
          <w:lang w:eastAsia="zh-CN" w:bidi="ar"/>
        </w:rPr>
        <w:t>引物及探针序列见表 1 。</w:t>
      </w:r>
    </w:p>
    <w:p w14:paraId="40713B14">
      <w:pPr>
        <w:spacing w:after="0" w:line="320" w:lineRule="exact"/>
        <w:ind w:firstLine="420" w:firstLineChars="200"/>
        <w:contextualSpacing/>
        <w:jc w:val="center"/>
        <w:rPr>
          <w:rFonts w:ascii="Times New Roman" w:hAnsi="Times New Roman" w:eastAsia="宋体" w:cs="Times New Roman"/>
          <w:lang w:eastAsia="zh-CN" w:bidi="ar"/>
        </w:rPr>
      </w:pPr>
      <w:r>
        <w:rPr>
          <w:rFonts w:hint="eastAsia" w:ascii="Times New Roman" w:hAnsi="Times New Roman" w:eastAsia="宋体" w:cs="Times New Roman"/>
          <w:lang w:eastAsia="zh-CN" w:bidi="ar"/>
        </w:rPr>
        <w:t>表</w:t>
      </w:r>
      <w:r>
        <w:rPr>
          <w:rFonts w:ascii="Times New Roman" w:hAnsi="Times New Roman" w:eastAsia="宋体" w:cs="Times New Roman"/>
          <w:lang w:eastAsia="zh-CN" w:bidi="ar"/>
        </w:rPr>
        <w:t xml:space="preserve">1 </w:t>
      </w:r>
      <w:r>
        <w:rPr>
          <w:rFonts w:hint="eastAsia" w:ascii="Times New Roman" w:hAnsi="Times New Roman" w:eastAsia="宋体" w:cs="Times New Roman"/>
          <w:lang w:eastAsia="zh-CN" w:bidi="ar"/>
        </w:rPr>
        <w:t xml:space="preserve"> 产气荚膜梭菌</w:t>
      </w:r>
      <w:r>
        <w:rPr>
          <w:rFonts w:ascii="Times New Roman" w:hAnsi="Times New Roman" w:eastAsia="宋体" w:cs="Times New Roman"/>
          <w:i/>
          <w:iCs/>
          <w:lang w:eastAsia="zh-CN" w:bidi="ar"/>
        </w:rPr>
        <w:t>plc</w:t>
      </w:r>
      <w:r>
        <w:rPr>
          <w:rFonts w:hint="eastAsia" w:ascii="Times New Roman" w:hAnsi="Times New Roman" w:eastAsia="宋体" w:cs="Times New Roman"/>
          <w:lang w:eastAsia="zh-CN" w:bidi="ar"/>
        </w:rPr>
        <w:t>和</w:t>
      </w:r>
      <w:r>
        <w:rPr>
          <w:rFonts w:ascii="Times New Roman" w:hAnsi="Times New Roman" w:eastAsia="宋体" w:cs="Times New Roman"/>
          <w:i/>
          <w:iCs/>
          <w:lang w:eastAsia="zh-CN" w:bidi="ar"/>
        </w:rPr>
        <w:t>cpe</w:t>
      </w:r>
      <w:r>
        <w:rPr>
          <w:rFonts w:hint="eastAsia" w:ascii="Times New Roman" w:hAnsi="Times New Roman" w:eastAsia="宋体" w:cs="Times New Roman"/>
          <w:lang w:eastAsia="zh-CN" w:bidi="ar"/>
        </w:rPr>
        <w:t>基因实时荧光PCR检测引物序列和探针</w:t>
      </w:r>
    </w:p>
    <w:tbl>
      <w:tblPr>
        <w:tblStyle w:val="11"/>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092"/>
        <w:gridCol w:w="5507"/>
        <w:gridCol w:w="1300"/>
      </w:tblGrid>
      <w:tr w14:paraId="719E3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35823B76">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lang w:eastAsia="zh-CN" w:bidi="ar"/>
              </w:rPr>
              <w:t>基因名称</w:t>
            </w:r>
          </w:p>
        </w:tc>
        <w:tc>
          <w:tcPr>
            <w:tcW w:w="1092" w:type="dxa"/>
          </w:tcPr>
          <w:p w14:paraId="17828142">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lang w:eastAsia="zh-CN" w:bidi="ar"/>
              </w:rPr>
              <w:t>引物和</w:t>
            </w:r>
          </w:p>
          <w:p w14:paraId="620A3A4C">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lang w:eastAsia="zh-CN" w:bidi="ar"/>
              </w:rPr>
              <w:t>探针</w:t>
            </w:r>
          </w:p>
        </w:tc>
        <w:tc>
          <w:tcPr>
            <w:tcW w:w="5507" w:type="dxa"/>
            <w:vAlign w:val="center"/>
          </w:tcPr>
          <w:p w14:paraId="2EE2445B">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lang w:eastAsia="zh-CN" w:bidi="ar"/>
              </w:rPr>
              <w:t>序列（5</w:t>
            </w:r>
            <w:r>
              <w:rPr>
                <w:rFonts w:ascii="Times New Roman" w:hAnsi="Times New Roman" w:eastAsia="宋体" w:cs="Times New Roman"/>
                <w:snapToGrid/>
                <w:lang w:eastAsia="zh-CN" w:bidi="ar"/>
              </w:rPr>
              <w:t>’</w:t>
            </w:r>
            <w:r>
              <w:rPr>
                <w:rFonts w:hint="eastAsia" w:ascii="Times New Roman" w:hAnsi="Times New Roman" w:eastAsia="宋体" w:cs="Times New Roman"/>
                <w:snapToGrid/>
                <w:lang w:eastAsia="zh-CN" w:bidi="ar"/>
              </w:rPr>
              <w:t>- 3'）</w:t>
            </w:r>
          </w:p>
        </w:tc>
        <w:tc>
          <w:tcPr>
            <w:tcW w:w="1300" w:type="dxa"/>
            <w:vAlign w:val="center"/>
          </w:tcPr>
          <w:p w14:paraId="5F131464">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lang w:eastAsia="zh-CN" w:bidi="ar"/>
              </w:rPr>
              <w:t>序列位置</w:t>
            </w:r>
          </w:p>
        </w:tc>
      </w:tr>
      <w:tr w14:paraId="11CF6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vAlign w:val="center"/>
          </w:tcPr>
          <w:p w14:paraId="4A72C147">
            <w:pPr>
              <w:widowControl/>
              <w:spacing w:after="0" w:line="320" w:lineRule="exact"/>
              <w:contextualSpacing/>
              <w:jc w:val="center"/>
              <w:rPr>
                <w:rFonts w:ascii="Times New Roman" w:hAnsi="Times New Roman" w:eastAsia="宋体" w:cs="Times New Roman"/>
                <w:snapToGrid/>
                <w:lang w:eastAsia="zh-CN" w:bidi="ar"/>
              </w:rPr>
            </w:pPr>
            <w:r>
              <w:rPr>
                <w:rFonts w:ascii="Times New Roman" w:hAnsi="Times New Roman" w:eastAsia="宋体" w:cs="Times New Roman"/>
                <w:i/>
                <w:iCs/>
                <w:snapToGrid/>
                <w:color w:val="auto"/>
                <w:lang w:eastAsia="zh-CN" w:bidi="ar"/>
              </w:rPr>
              <w:t>plc</w:t>
            </w:r>
          </w:p>
        </w:tc>
        <w:tc>
          <w:tcPr>
            <w:tcW w:w="1092" w:type="dxa"/>
          </w:tcPr>
          <w:p w14:paraId="0CE4C731">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color w:val="auto"/>
                <w:lang w:eastAsia="zh-CN" w:bidi="ar"/>
              </w:rPr>
              <w:t>上游引物</w:t>
            </w:r>
          </w:p>
        </w:tc>
        <w:tc>
          <w:tcPr>
            <w:tcW w:w="5507" w:type="dxa"/>
            <w:vAlign w:val="center"/>
          </w:tcPr>
          <w:p w14:paraId="567C4C67">
            <w:pPr>
              <w:widowControl/>
              <w:spacing w:after="0" w:line="320" w:lineRule="exact"/>
              <w:contextualSpacing/>
              <w:jc w:val="center"/>
              <w:textAlignment w:val="center"/>
              <w:rPr>
                <w:rFonts w:ascii="Times New Roman" w:hAnsi="Times New Roman" w:eastAsia="宋体" w:cs="Times New Roman"/>
                <w:snapToGrid/>
                <w:lang w:eastAsia="zh-CN" w:bidi="ar"/>
              </w:rPr>
            </w:pPr>
            <w:r>
              <w:rPr>
                <w:rFonts w:ascii="Times New Roman" w:hAnsi="Times New Roman" w:eastAsia="宋体" w:cs="Times New Roman"/>
                <w:snapToGrid/>
                <w:lang w:eastAsia="zh-CN" w:bidi="ar"/>
              </w:rPr>
              <w:t>CAGGACATGTTAAGTTTGAGAC</w:t>
            </w:r>
          </w:p>
        </w:tc>
        <w:tc>
          <w:tcPr>
            <w:tcW w:w="1300" w:type="dxa"/>
            <w:vMerge w:val="restart"/>
            <w:vAlign w:val="center"/>
          </w:tcPr>
          <w:p w14:paraId="5D9EE83F">
            <w:pPr>
              <w:widowControl/>
              <w:spacing w:after="0" w:line="320" w:lineRule="exact"/>
              <w:contextualSpacing/>
              <w:jc w:val="center"/>
              <w:textAlignment w:val="center"/>
              <w:rPr>
                <w:rFonts w:ascii="Times New Roman" w:hAnsi="Times New Roman" w:eastAsia="宋体" w:cs="Times New Roman"/>
                <w:snapToGrid/>
                <w:color w:val="000000" w:themeColor="text1"/>
                <w:sz w:val="17"/>
                <w:szCs w:val="17"/>
                <w:shd w:val="clear" w:color="auto" w:fill="FFFFFF"/>
                <w14:textFill>
                  <w14:solidFill>
                    <w14:schemeClr w14:val="tx1"/>
                  </w14:solidFill>
                </w14:textFill>
              </w:rPr>
            </w:pPr>
            <w:r>
              <w:rPr>
                <w:rFonts w:ascii="Times New Roman" w:hAnsi="Times New Roman" w:eastAsia="宋体" w:cs="Times New Roman"/>
                <w:snapToGrid/>
                <w:color w:val="000000" w:themeColor="text1"/>
                <w:sz w:val="17"/>
                <w:szCs w:val="17"/>
                <w:shd w:val="clear" w:color="auto" w:fill="FFFFFF"/>
                <w14:textFill>
                  <w14:solidFill>
                    <w14:schemeClr w14:val="tx1"/>
                  </w14:solidFill>
                </w14:textFill>
              </w:rPr>
              <w:t>GenBank</w:t>
            </w:r>
            <w:r>
              <w:rPr>
                <w:rFonts w:hint="eastAsia" w:ascii="Times New Roman" w:hAnsi="Times New Roman" w:eastAsia="宋体" w:cs="Times New Roman"/>
                <w:snapToGrid/>
                <w:color w:val="000000" w:themeColor="text1"/>
                <w:sz w:val="17"/>
                <w:szCs w:val="17"/>
                <w:shd w:val="clear" w:color="auto" w:fill="FFFFFF"/>
                <w:lang w:eastAsia="zh-CN"/>
                <w14:textFill>
                  <w14:solidFill>
                    <w14:schemeClr w14:val="tx1"/>
                  </w14:solidFill>
                </w14:textFill>
              </w:rPr>
              <w:t>号</w:t>
            </w:r>
            <w:r>
              <w:rPr>
                <w:rFonts w:ascii="Times New Roman" w:hAnsi="Times New Roman" w:eastAsia="宋体" w:cs="Times New Roman"/>
                <w:snapToGrid/>
                <w:color w:val="000000" w:themeColor="text1"/>
                <w:sz w:val="17"/>
                <w:szCs w:val="17"/>
                <w:shd w:val="clear" w:color="auto" w:fill="FFFFFF"/>
                <w14:textFill>
                  <w14:solidFill>
                    <w14:schemeClr w14:val="tx1"/>
                  </w14:solidFill>
                </w14:textFill>
              </w:rPr>
              <w:t>MH900562.1</w:t>
            </w:r>
          </w:p>
          <w:p w14:paraId="18A0E4DC">
            <w:pPr>
              <w:widowControl/>
              <w:spacing w:after="0" w:line="320" w:lineRule="exact"/>
              <w:contextualSpacing/>
              <w:jc w:val="center"/>
              <w:textAlignment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000000" w:themeColor="text1"/>
                <w:sz w:val="17"/>
                <w:szCs w:val="17"/>
                <w:shd w:val="clear" w:color="auto" w:fill="FFFFFF"/>
                <w:lang w:eastAsia="zh-CN"/>
                <w14:textFill>
                  <w14:solidFill>
                    <w14:schemeClr w14:val="tx1"/>
                  </w14:solidFill>
                </w14:textFill>
              </w:rPr>
              <w:t>位置：521-735</w:t>
            </w:r>
          </w:p>
        </w:tc>
      </w:tr>
      <w:tr w14:paraId="255A6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tcPr>
          <w:p w14:paraId="3B715972">
            <w:pPr>
              <w:widowControl/>
              <w:spacing w:after="0" w:line="320" w:lineRule="exact"/>
              <w:contextualSpacing/>
              <w:jc w:val="center"/>
              <w:rPr>
                <w:rFonts w:ascii="Times New Roman" w:hAnsi="Times New Roman" w:eastAsia="宋体" w:cs="Times New Roman"/>
                <w:snapToGrid/>
                <w:lang w:eastAsia="zh-CN" w:bidi="ar"/>
              </w:rPr>
            </w:pPr>
          </w:p>
        </w:tc>
        <w:tc>
          <w:tcPr>
            <w:tcW w:w="1092" w:type="dxa"/>
          </w:tcPr>
          <w:p w14:paraId="3ABFF7EA">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color w:val="auto"/>
                <w:lang w:eastAsia="zh-CN" w:bidi="ar"/>
              </w:rPr>
              <w:t>下游引物</w:t>
            </w:r>
          </w:p>
        </w:tc>
        <w:tc>
          <w:tcPr>
            <w:tcW w:w="5507" w:type="dxa"/>
            <w:vAlign w:val="center"/>
          </w:tcPr>
          <w:p w14:paraId="3502AD64">
            <w:pPr>
              <w:widowControl/>
              <w:spacing w:after="0" w:line="320" w:lineRule="exact"/>
              <w:contextualSpacing/>
              <w:jc w:val="center"/>
              <w:textAlignment w:val="center"/>
              <w:rPr>
                <w:rFonts w:ascii="Times New Roman" w:hAnsi="Times New Roman" w:eastAsia="宋体" w:cs="Times New Roman"/>
                <w:snapToGrid/>
                <w:lang w:eastAsia="zh-CN" w:bidi="ar"/>
              </w:rPr>
            </w:pPr>
            <w:r>
              <w:rPr>
                <w:rFonts w:ascii="Times New Roman" w:hAnsi="Times New Roman" w:eastAsia="宋体" w:cs="Times New Roman"/>
                <w:snapToGrid/>
                <w:lang w:eastAsia="zh-CN" w:bidi="ar"/>
              </w:rPr>
              <w:t>CCAATCATCCCAACTATGACTCA</w:t>
            </w:r>
          </w:p>
        </w:tc>
        <w:tc>
          <w:tcPr>
            <w:tcW w:w="1300" w:type="dxa"/>
            <w:vMerge w:val="continue"/>
            <w:vAlign w:val="center"/>
          </w:tcPr>
          <w:p w14:paraId="748816C0">
            <w:pPr>
              <w:widowControl/>
              <w:spacing w:after="0" w:line="320" w:lineRule="exact"/>
              <w:contextualSpacing/>
              <w:jc w:val="center"/>
              <w:textAlignment w:val="center"/>
              <w:rPr>
                <w:rFonts w:ascii="Times New Roman" w:hAnsi="Times New Roman" w:eastAsia="宋体" w:cs="Times New Roman"/>
                <w:snapToGrid/>
                <w:color w:val="auto"/>
                <w:lang w:eastAsia="zh-CN" w:bidi="ar"/>
              </w:rPr>
            </w:pPr>
          </w:p>
        </w:tc>
      </w:tr>
      <w:tr w14:paraId="247A3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tcPr>
          <w:p w14:paraId="1721FF93">
            <w:pPr>
              <w:widowControl/>
              <w:spacing w:after="0" w:line="320" w:lineRule="exact"/>
              <w:contextualSpacing/>
              <w:jc w:val="center"/>
              <w:rPr>
                <w:rFonts w:ascii="Times New Roman" w:hAnsi="Times New Roman" w:eastAsia="宋体" w:cs="Times New Roman"/>
                <w:snapToGrid/>
                <w:lang w:eastAsia="zh-CN" w:bidi="ar"/>
              </w:rPr>
            </w:pPr>
          </w:p>
        </w:tc>
        <w:tc>
          <w:tcPr>
            <w:tcW w:w="1092" w:type="dxa"/>
          </w:tcPr>
          <w:p w14:paraId="1011BB0A">
            <w:pPr>
              <w:widowControl/>
              <w:spacing w:after="0" w:line="320" w:lineRule="exact"/>
              <w:contextualSpacing/>
              <w:jc w:val="center"/>
              <w:rPr>
                <w:rFonts w:ascii="Times New Roman" w:hAnsi="Times New Roman" w:eastAsia="宋体" w:cs="Times New Roman"/>
                <w:snapToGrid/>
                <w:lang w:eastAsia="zh-CN" w:bidi="ar"/>
              </w:rPr>
            </w:pPr>
            <w:r>
              <w:rPr>
                <w:rFonts w:hint="eastAsia" w:ascii="Times New Roman" w:hAnsi="Times New Roman" w:eastAsia="宋体" w:cs="Times New Roman"/>
                <w:snapToGrid/>
                <w:color w:val="auto"/>
                <w:lang w:eastAsia="zh-CN" w:bidi="ar"/>
              </w:rPr>
              <w:t>探针</w:t>
            </w:r>
          </w:p>
        </w:tc>
        <w:tc>
          <w:tcPr>
            <w:tcW w:w="5507" w:type="dxa"/>
            <w:vAlign w:val="center"/>
          </w:tcPr>
          <w:p w14:paraId="68F162D4">
            <w:pPr>
              <w:widowControl/>
              <w:spacing w:after="0" w:line="320" w:lineRule="exact"/>
              <w:contextualSpacing/>
              <w:jc w:val="center"/>
              <w:textAlignment w:val="center"/>
              <w:rPr>
                <w:rFonts w:ascii="Times New Roman" w:hAnsi="Times New Roman" w:eastAsia="宋体" w:cs="Times New Roman"/>
                <w:snapToGrid/>
                <w:lang w:eastAsia="zh-CN" w:bidi="ar"/>
              </w:rPr>
            </w:pPr>
            <w:r>
              <w:rPr>
                <w:rFonts w:ascii="Times New Roman" w:hAnsi="Times New Roman" w:eastAsia="宋体" w:cs="Times New Roman"/>
                <w:snapToGrid/>
                <w:lang w:eastAsia="zh-CN" w:bidi="ar"/>
              </w:rPr>
              <w:t>FAM-ACACAGCAGGTTGCAAAACTAATGAGGC-BHQ1</w:t>
            </w:r>
          </w:p>
        </w:tc>
        <w:tc>
          <w:tcPr>
            <w:tcW w:w="1300" w:type="dxa"/>
            <w:vMerge w:val="continue"/>
            <w:vAlign w:val="center"/>
          </w:tcPr>
          <w:p w14:paraId="775CB864">
            <w:pPr>
              <w:widowControl/>
              <w:spacing w:after="0" w:line="320" w:lineRule="exact"/>
              <w:contextualSpacing/>
              <w:jc w:val="center"/>
              <w:textAlignment w:val="center"/>
              <w:rPr>
                <w:rFonts w:ascii="Times New Roman" w:hAnsi="Times New Roman" w:eastAsia="宋体" w:cs="Times New Roman"/>
                <w:snapToGrid/>
                <w:color w:val="auto"/>
                <w:lang w:eastAsia="zh-CN" w:bidi="ar"/>
              </w:rPr>
            </w:pPr>
          </w:p>
        </w:tc>
      </w:tr>
      <w:tr w14:paraId="455B8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vAlign w:val="center"/>
          </w:tcPr>
          <w:p w14:paraId="194E79AC">
            <w:pPr>
              <w:widowControl/>
              <w:spacing w:after="0" w:line="320" w:lineRule="exact"/>
              <w:contextualSpacing/>
              <w:jc w:val="center"/>
              <w:rPr>
                <w:rFonts w:ascii="Times New Roman" w:hAnsi="Times New Roman" w:eastAsia="宋体" w:cs="Times New Roman"/>
                <w:snapToGrid/>
                <w:lang w:eastAsia="zh-CN" w:bidi="ar"/>
              </w:rPr>
            </w:pPr>
            <w:r>
              <w:rPr>
                <w:rFonts w:ascii="Times New Roman" w:hAnsi="Times New Roman" w:eastAsia="宋体" w:cs="Times New Roman"/>
                <w:i/>
                <w:iCs/>
                <w:snapToGrid/>
                <w:color w:val="auto"/>
                <w:lang w:eastAsia="zh-CN" w:bidi="ar"/>
              </w:rPr>
              <w:t>cpe</w:t>
            </w:r>
          </w:p>
        </w:tc>
        <w:tc>
          <w:tcPr>
            <w:tcW w:w="1092" w:type="dxa"/>
          </w:tcPr>
          <w:p w14:paraId="0B58099A">
            <w:pPr>
              <w:widowControl/>
              <w:spacing w:after="0" w:line="320" w:lineRule="exact"/>
              <w:contextualSpacing/>
              <w:jc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auto"/>
                <w:lang w:eastAsia="zh-CN" w:bidi="ar"/>
              </w:rPr>
              <w:t>上游引物</w:t>
            </w:r>
          </w:p>
        </w:tc>
        <w:tc>
          <w:tcPr>
            <w:tcW w:w="5507" w:type="dxa"/>
            <w:vAlign w:val="center"/>
          </w:tcPr>
          <w:p w14:paraId="00C84D0A">
            <w:pPr>
              <w:widowControl/>
              <w:spacing w:after="0" w:line="320" w:lineRule="exact"/>
              <w:contextualSpacing/>
              <w:jc w:val="center"/>
              <w:textAlignment w:val="center"/>
              <w:rPr>
                <w:rFonts w:ascii="Times New Roman" w:hAnsi="Times New Roman" w:eastAsia="宋体" w:cs="Times New Roman"/>
                <w:snapToGrid/>
                <w:lang w:eastAsia="zh-CN" w:bidi="ar"/>
              </w:rPr>
            </w:pPr>
            <w:r>
              <w:rPr>
                <w:rFonts w:ascii="Times New Roman" w:hAnsi="Times New Roman" w:eastAsia="宋体" w:cs="Times New Roman"/>
                <w:snapToGrid/>
                <w:lang w:eastAsia="zh-CN" w:bidi="ar"/>
              </w:rPr>
              <w:t>GGAGATGGTTGGATATTAGG</w:t>
            </w:r>
          </w:p>
        </w:tc>
        <w:tc>
          <w:tcPr>
            <w:tcW w:w="1300" w:type="dxa"/>
            <w:vMerge w:val="restart"/>
            <w:vAlign w:val="center"/>
          </w:tcPr>
          <w:p w14:paraId="0895E12B">
            <w:pPr>
              <w:widowControl/>
              <w:spacing w:after="0" w:line="320" w:lineRule="exact"/>
              <w:contextualSpacing/>
              <w:jc w:val="center"/>
              <w:textAlignment w:val="center"/>
              <w:rPr>
                <w:rFonts w:ascii="Times New Roman" w:hAnsi="Times New Roman" w:eastAsia="宋体" w:cs="Times New Roman"/>
                <w:snapToGrid/>
                <w:color w:val="000000" w:themeColor="text1"/>
                <w:sz w:val="17"/>
                <w:szCs w:val="17"/>
                <w:shd w:val="clear" w:color="auto" w:fill="FFFFFF"/>
                <w14:textFill>
                  <w14:solidFill>
                    <w14:schemeClr w14:val="tx1"/>
                  </w14:solidFill>
                </w14:textFill>
              </w:rPr>
            </w:pPr>
            <w:r>
              <w:rPr>
                <w:rFonts w:ascii="Times New Roman" w:hAnsi="Times New Roman" w:eastAsia="宋体" w:cs="Times New Roman"/>
                <w:snapToGrid/>
                <w:color w:val="000000" w:themeColor="text1"/>
                <w:sz w:val="17"/>
                <w:szCs w:val="17"/>
                <w:shd w:val="clear" w:color="auto" w:fill="FFFFFF"/>
                <w14:textFill>
                  <w14:solidFill>
                    <w14:schemeClr w14:val="tx1"/>
                  </w14:solidFill>
                </w14:textFill>
              </w:rPr>
              <w:t>GenBank</w:t>
            </w:r>
            <w:r>
              <w:rPr>
                <w:rFonts w:hint="eastAsia" w:ascii="Times New Roman" w:hAnsi="Times New Roman" w:eastAsia="宋体" w:cs="Times New Roman"/>
                <w:snapToGrid/>
                <w:color w:val="000000" w:themeColor="text1"/>
                <w:sz w:val="17"/>
                <w:szCs w:val="17"/>
                <w:shd w:val="clear" w:color="auto" w:fill="FFFFFF"/>
                <w:lang w:eastAsia="zh-CN"/>
                <w14:textFill>
                  <w14:solidFill>
                    <w14:schemeClr w14:val="tx1"/>
                  </w14:solidFill>
                </w14:textFill>
              </w:rPr>
              <w:t>号</w:t>
            </w:r>
            <w:r>
              <w:rPr>
                <w:rFonts w:ascii="Times New Roman" w:hAnsi="Times New Roman" w:eastAsia="宋体" w:cs="Times New Roman"/>
                <w:snapToGrid/>
                <w:color w:val="000000" w:themeColor="text1"/>
                <w:sz w:val="17"/>
                <w:szCs w:val="17"/>
                <w:shd w:val="clear" w:color="auto" w:fill="FFFFFF"/>
                <w14:textFill>
                  <w14:solidFill>
                    <w14:schemeClr w14:val="tx1"/>
                  </w14:solidFill>
                </w14:textFill>
              </w:rPr>
              <w:t>MH900564.1</w:t>
            </w:r>
          </w:p>
          <w:p w14:paraId="6CE9963E">
            <w:pPr>
              <w:widowControl/>
              <w:spacing w:after="0" w:line="320" w:lineRule="exact"/>
              <w:contextualSpacing/>
              <w:jc w:val="center"/>
              <w:textAlignment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000000" w:themeColor="text1"/>
                <w:sz w:val="17"/>
                <w:szCs w:val="17"/>
                <w:shd w:val="clear" w:color="auto" w:fill="FFFFFF"/>
                <w:lang w:eastAsia="zh-CN"/>
                <w14:textFill>
                  <w14:solidFill>
                    <w14:schemeClr w14:val="tx1"/>
                  </w14:solidFill>
                </w14:textFill>
              </w:rPr>
              <w:t>位置：139-371</w:t>
            </w:r>
          </w:p>
        </w:tc>
      </w:tr>
      <w:tr w14:paraId="08679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tcPr>
          <w:p w14:paraId="0E661E6D">
            <w:pPr>
              <w:widowControl/>
              <w:spacing w:after="0" w:line="320" w:lineRule="exact"/>
              <w:contextualSpacing/>
              <w:jc w:val="center"/>
              <w:rPr>
                <w:rFonts w:ascii="Times New Roman" w:hAnsi="Times New Roman" w:eastAsia="宋体" w:cs="Times New Roman"/>
                <w:snapToGrid/>
                <w:lang w:eastAsia="zh-CN" w:bidi="ar"/>
              </w:rPr>
            </w:pPr>
          </w:p>
        </w:tc>
        <w:tc>
          <w:tcPr>
            <w:tcW w:w="1092" w:type="dxa"/>
          </w:tcPr>
          <w:p w14:paraId="600D3C8E">
            <w:pPr>
              <w:widowControl/>
              <w:spacing w:after="0" w:line="320" w:lineRule="exact"/>
              <w:contextualSpacing/>
              <w:jc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auto"/>
                <w:lang w:eastAsia="zh-CN" w:bidi="ar"/>
              </w:rPr>
              <w:t>下游引物</w:t>
            </w:r>
          </w:p>
        </w:tc>
        <w:tc>
          <w:tcPr>
            <w:tcW w:w="5507" w:type="dxa"/>
            <w:vAlign w:val="center"/>
          </w:tcPr>
          <w:p w14:paraId="24DCFDC7">
            <w:pPr>
              <w:widowControl/>
              <w:spacing w:after="0" w:line="320" w:lineRule="exact"/>
              <w:contextualSpacing/>
              <w:jc w:val="center"/>
              <w:textAlignment w:val="center"/>
              <w:rPr>
                <w:rFonts w:ascii="Times New Roman" w:hAnsi="Times New Roman" w:eastAsia="宋体" w:cs="Times New Roman"/>
                <w:snapToGrid/>
                <w:lang w:eastAsia="zh-CN" w:bidi="ar"/>
              </w:rPr>
            </w:pPr>
            <w:r>
              <w:rPr>
                <w:rFonts w:ascii="Times New Roman" w:hAnsi="Times New Roman" w:eastAsia="宋体" w:cs="Times New Roman"/>
                <w:snapToGrid/>
                <w:lang w:eastAsia="zh-CN" w:bidi="ar"/>
              </w:rPr>
              <w:t>GGACCAGCAGTTGTAGATAC</w:t>
            </w:r>
          </w:p>
        </w:tc>
        <w:tc>
          <w:tcPr>
            <w:tcW w:w="1300" w:type="dxa"/>
            <w:vMerge w:val="continue"/>
            <w:vAlign w:val="center"/>
          </w:tcPr>
          <w:p w14:paraId="4C929CF6">
            <w:pPr>
              <w:widowControl/>
              <w:spacing w:after="0" w:line="320" w:lineRule="exact"/>
              <w:contextualSpacing/>
              <w:jc w:val="center"/>
              <w:textAlignment w:val="center"/>
              <w:rPr>
                <w:rFonts w:ascii="Times New Roman" w:hAnsi="Times New Roman" w:eastAsia="宋体" w:cs="Times New Roman"/>
                <w:snapToGrid/>
                <w:lang w:eastAsia="zh-CN" w:bidi="ar"/>
              </w:rPr>
            </w:pPr>
          </w:p>
        </w:tc>
      </w:tr>
      <w:tr w14:paraId="58F65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tcPr>
          <w:p w14:paraId="7D65393F">
            <w:pPr>
              <w:widowControl/>
              <w:spacing w:after="0" w:line="320" w:lineRule="exact"/>
              <w:contextualSpacing/>
              <w:jc w:val="center"/>
              <w:rPr>
                <w:rFonts w:ascii="Times New Roman" w:hAnsi="Times New Roman" w:eastAsia="宋体" w:cs="Times New Roman"/>
                <w:snapToGrid/>
                <w:lang w:eastAsia="zh-CN" w:bidi="ar"/>
              </w:rPr>
            </w:pPr>
          </w:p>
        </w:tc>
        <w:tc>
          <w:tcPr>
            <w:tcW w:w="1092" w:type="dxa"/>
          </w:tcPr>
          <w:p w14:paraId="68E8261B">
            <w:pPr>
              <w:widowControl/>
              <w:spacing w:after="0" w:line="320" w:lineRule="exact"/>
              <w:contextualSpacing/>
              <w:jc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auto"/>
                <w:lang w:eastAsia="zh-CN" w:bidi="ar"/>
              </w:rPr>
              <w:t>探针</w:t>
            </w:r>
          </w:p>
        </w:tc>
        <w:tc>
          <w:tcPr>
            <w:tcW w:w="5507" w:type="dxa"/>
            <w:vAlign w:val="center"/>
          </w:tcPr>
          <w:p w14:paraId="656F4531">
            <w:pPr>
              <w:widowControl/>
              <w:spacing w:after="0" w:line="320" w:lineRule="exact"/>
              <w:contextualSpacing/>
              <w:jc w:val="center"/>
              <w:textAlignment w:val="center"/>
              <w:rPr>
                <w:rFonts w:ascii="Times New Roman" w:hAnsi="Times New Roman" w:eastAsia="宋体" w:cs="Times New Roman"/>
                <w:snapToGrid/>
                <w:lang w:eastAsia="zh-CN" w:bidi="ar"/>
              </w:rPr>
            </w:pPr>
            <w:r>
              <w:rPr>
                <w:rFonts w:ascii="Times New Roman" w:hAnsi="Times New Roman" w:eastAsia="宋体" w:cs="Times New Roman"/>
                <w:snapToGrid/>
                <w:lang w:eastAsia="zh-CN" w:bidi="ar"/>
              </w:rPr>
              <w:t>HEX-TGACTTGAAACTACTGAGGGTTCC-MGB</w:t>
            </w:r>
          </w:p>
        </w:tc>
        <w:tc>
          <w:tcPr>
            <w:tcW w:w="1300" w:type="dxa"/>
            <w:vMerge w:val="continue"/>
            <w:vAlign w:val="center"/>
          </w:tcPr>
          <w:p w14:paraId="1CD8C97F">
            <w:pPr>
              <w:widowControl/>
              <w:spacing w:after="0" w:line="320" w:lineRule="exact"/>
              <w:contextualSpacing/>
              <w:jc w:val="center"/>
              <w:textAlignment w:val="center"/>
              <w:rPr>
                <w:rFonts w:ascii="Times New Roman" w:hAnsi="Times New Roman" w:eastAsia="宋体" w:cs="Times New Roman"/>
                <w:snapToGrid/>
                <w:lang w:eastAsia="zh-CN" w:bidi="ar"/>
              </w:rPr>
            </w:pPr>
          </w:p>
        </w:tc>
      </w:tr>
    </w:tbl>
    <w:p w14:paraId="591539E5">
      <w:pPr>
        <w:spacing w:after="0" w:line="320" w:lineRule="exact"/>
        <w:contextualSpacing/>
        <w:jc w:val="both"/>
        <w:rPr>
          <w:rFonts w:ascii="Times New Roman" w:hAnsi="Times New Roman" w:eastAsia="宋体" w:cs="Times New Roman"/>
          <w:lang w:eastAsia="zh-CN" w:bidi="ar"/>
        </w:rPr>
      </w:pPr>
      <w:r>
        <w:rPr>
          <w:rFonts w:ascii="Times New Roman" w:hAnsi="Times New Roman" w:eastAsia="宋体" w:cs="Times New Roman"/>
          <w:lang w:eastAsia="zh-CN" w:bidi="ar"/>
        </w:rPr>
        <w:t>B.4</w:t>
      </w:r>
      <w:r>
        <w:rPr>
          <w:rFonts w:hint="eastAsia" w:ascii="Times New Roman" w:hAnsi="Times New Roman" w:eastAsia="宋体" w:cs="Times New Roman"/>
          <w:lang w:eastAsia="zh-CN" w:bidi="ar"/>
        </w:rPr>
        <w:t xml:space="preserve"> 实时荧光 PCR 反应体系</w:t>
      </w:r>
    </w:p>
    <w:p w14:paraId="2A2B6541">
      <w:pPr>
        <w:spacing w:after="0" w:line="320" w:lineRule="exact"/>
        <w:ind w:firstLine="420" w:firstLineChars="200"/>
        <w:contextualSpacing/>
        <w:jc w:val="both"/>
        <w:rPr>
          <w:rFonts w:ascii="Times New Roman" w:hAnsi="Times New Roman" w:eastAsia="宋体" w:cs="Times New Roman"/>
          <w:lang w:eastAsia="zh-CN" w:bidi="ar"/>
        </w:rPr>
      </w:pPr>
      <w:r>
        <w:rPr>
          <w:rFonts w:hint="eastAsia" w:ascii="Times New Roman" w:hAnsi="Times New Roman" w:eastAsia="宋体" w:cs="Times New Roman"/>
          <w:lang w:eastAsia="zh-CN" w:bidi="ar"/>
        </w:rPr>
        <w:t xml:space="preserve">实时荧光 PCR 反应体系见表2，如用等效商品化产气荚膜梭菌实时荧光PCR检测试剂盒，则按照说明书操作。 </w:t>
      </w:r>
    </w:p>
    <w:p w14:paraId="3A0ADBB1">
      <w:pPr>
        <w:spacing w:after="0" w:line="320" w:lineRule="exact"/>
        <w:ind w:firstLine="420" w:firstLineChars="200"/>
        <w:contextualSpacing/>
        <w:jc w:val="center"/>
        <w:rPr>
          <w:rFonts w:ascii="Times New Roman" w:hAnsi="Times New Roman" w:eastAsia="宋体" w:cs="Times New Roman"/>
          <w:lang w:eastAsia="zh-CN" w:bidi="ar"/>
        </w:rPr>
      </w:pPr>
      <w:r>
        <w:rPr>
          <w:rFonts w:hint="eastAsia" w:ascii="Times New Roman" w:hAnsi="Times New Roman" w:eastAsia="宋体" w:cs="Times New Roman"/>
          <w:lang w:eastAsia="zh-CN" w:bidi="ar"/>
        </w:rPr>
        <w:t>表</w:t>
      </w:r>
      <w:r>
        <w:rPr>
          <w:rFonts w:ascii="Times New Roman" w:hAnsi="Times New Roman" w:eastAsia="宋体" w:cs="Times New Roman"/>
          <w:lang w:eastAsia="zh-CN" w:bidi="ar"/>
        </w:rPr>
        <w:t xml:space="preserve"> 2</w:t>
      </w:r>
      <w:r>
        <w:rPr>
          <w:rFonts w:hint="eastAsia" w:ascii="Times New Roman" w:hAnsi="Times New Roman" w:eastAsia="宋体" w:cs="Times New Roman"/>
          <w:lang w:eastAsia="zh-CN" w:bidi="ar"/>
        </w:rPr>
        <w:t xml:space="preserve"> 实时荧光PCR反应体系</w:t>
      </w:r>
    </w:p>
    <w:tbl>
      <w:tblPr>
        <w:tblStyle w:val="11"/>
        <w:tblW w:w="0" w:type="auto"/>
        <w:tblInd w:w="1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3"/>
        <w:gridCol w:w="2347"/>
      </w:tblGrid>
      <w:tr w14:paraId="0472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shd w:val="clear" w:color="auto" w:fill="FFFFFF"/>
          </w:tcPr>
          <w:p w14:paraId="0BE28CEE">
            <w:pPr>
              <w:widowControl/>
              <w:numPr>
                <w:ilvl w:val="255"/>
                <w:numId w:val="0"/>
              </w:numPr>
              <w:spacing w:after="0" w:line="320" w:lineRule="exact"/>
              <w:contextualSpacing/>
              <w:jc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auto"/>
                <w:lang w:eastAsia="zh-CN" w:bidi="ar"/>
              </w:rPr>
              <w:t>试剂名称</w:t>
            </w:r>
          </w:p>
        </w:tc>
        <w:tc>
          <w:tcPr>
            <w:tcW w:w="2347" w:type="dxa"/>
            <w:shd w:val="clear" w:color="auto" w:fill="FFFFFF"/>
          </w:tcPr>
          <w:p w14:paraId="5F3449E8">
            <w:pPr>
              <w:widowControl/>
              <w:numPr>
                <w:ilvl w:val="255"/>
                <w:numId w:val="0"/>
              </w:numPr>
              <w:spacing w:after="0" w:line="320" w:lineRule="exact"/>
              <w:contextualSpacing/>
              <w:jc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auto"/>
                <w:lang w:eastAsia="zh-CN" w:bidi="ar"/>
              </w:rPr>
              <w:t>体积（</w:t>
            </w:r>
            <w:r>
              <w:rPr>
                <w:rFonts w:ascii="Times New Roman" w:hAnsi="Times New Roman" w:eastAsia="宋体" w:cs="Times New Roman"/>
                <w:snapToGrid/>
                <w:color w:val="000000" w:themeColor="dark1"/>
                <w:lang w:eastAsia="zh-CN"/>
                <w14:textFill>
                  <w14:solidFill>
                    <w14:schemeClr w14:val="dk1"/>
                  </w14:solidFill>
                </w14:textFill>
              </w:rPr>
              <w:t>μL</w:t>
            </w:r>
            <w:r>
              <w:rPr>
                <w:rFonts w:hint="eastAsia" w:ascii="Times New Roman" w:hAnsi="Times New Roman" w:eastAsia="宋体" w:cs="Times New Roman"/>
                <w:snapToGrid/>
                <w:color w:val="auto"/>
                <w:lang w:eastAsia="zh-CN" w:bidi="ar"/>
              </w:rPr>
              <w:t>）</w:t>
            </w:r>
          </w:p>
        </w:tc>
      </w:tr>
      <w:tr w14:paraId="461D0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2A9172DD">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i/>
                <w:iCs/>
                <w:snapToGrid/>
                <w:color w:val="auto"/>
                <w:lang w:eastAsia="zh-CN" w:bidi="ar"/>
              </w:rPr>
              <w:t>plc</w:t>
            </w:r>
            <w:r>
              <w:rPr>
                <w:rFonts w:hint="eastAsia" w:ascii="Times New Roman" w:hAnsi="Times New Roman" w:eastAsia="宋体" w:cs="Times New Roman"/>
                <w:snapToGrid/>
                <w:color w:val="auto"/>
                <w:lang w:eastAsia="zh-CN" w:bidi="ar"/>
              </w:rPr>
              <w:t xml:space="preserve">-F（10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snapToGrid/>
                <w:color w:val="auto"/>
                <w:lang w:eastAsia="zh-CN" w:bidi="ar"/>
              </w:rPr>
              <w:t>M）</w:t>
            </w:r>
          </w:p>
        </w:tc>
        <w:tc>
          <w:tcPr>
            <w:tcW w:w="2347" w:type="dxa"/>
          </w:tcPr>
          <w:p w14:paraId="39F14CAC">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0.5</w:t>
            </w:r>
          </w:p>
        </w:tc>
      </w:tr>
      <w:tr w14:paraId="460BF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43B3C72A">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i/>
                <w:iCs/>
                <w:snapToGrid/>
                <w:color w:val="auto"/>
                <w:lang w:eastAsia="zh-CN" w:bidi="ar"/>
              </w:rPr>
              <w:t>plc</w:t>
            </w:r>
            <w:r>
              <w:rPr>
                <w:rFonts w:hint="eastAsia" w:ascii="Times New Roman" w:hAnsi="Times New Roman" w:eastAsia="宋体" w:cs="Times New Roman"/>
                <w:snapToGrid/>
                <w:color w:val="auto"/>
                <w:lang w:eastAsia="zh-CN" w:bidi="ar"/>
              </w:rPr>
              <w:t xml:space="preserve">-R（10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snapToGrid/>
                <w:color w:val="auto"/>
                <w:lang w:eastAsia="zh-CN" w:bidi="ar"/>
              </w:rPr>
              <w:t>M）</w:t>
            </w:r>
          </w:p>
        </w:tc>
        <w:tc>
          <w:tcPr>
            <w:tcW w:w="2347" w:type="dxa"/>
          </w:tcPr>
          <w:p w14:paraId="5FCCEC42">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0.5</w:t>
            </w:r>
          </w:p>
        </w:tc>
      </w:tr>
      <w:tr w14:paraId="3C11F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44827C50">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i/>
                <w:iCs/>
                <w:snapToGrid/>
                <w:color w:val="auto"/>
                <w:lang w:eastAsia="zh-CN" w:bidi="ar"/>
              </w:rPr>
              <w:t>plc</w:t>
            </w:r>
            <w:r>
              <w:rPr>
                <w:rFonts w:hint="eastAsia" w:ascii="Times New Roman" w:hAnsi="Times New Roman" w:eastAsia="宋体" w:cs="Times New Roman"/>
                <w:snapToGrid/>
                <w:color w:val="auto"/>
                <w:lang w:eastAsia="zh-CN" w:bidi="ar"/>
              </w:rPr>
              <w:t xml:space="preserve">-P（10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snapToGrid/>
                <w:color w:val="auto"/>
                <w:lang w:eastAsia="zh-CN" w:bidi="ar"/>
              </w:rPr>
              <w:t>M）</w:t>
            </w:r>
          </w:p>
        </w:tc>
        <w:tc>
          <w:tcPr>
            <w:tcW w:w="2347" w:type="dxa"/>
          </w:tcPr>
          <w:p w14:paraId="6B4AB5C5">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0.4</w:t>
            </w:r>
          </w:p>
        </w:tc>
      </w:tr>
      <w:tr w14:paraId="4CB0D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0DFEE242">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i/>
                <w:iCs/>
                <w:snapToGrid/>
                <w:color w:val="auto"/>
                <w:lang w:eastAsia="zh-CN" w:bidi="ar"/>
              </w:rPr>
              <w:t>cpe</w:t>
            </w:r>
            <w:r>
              <w:rPr>
                <w:rFonts w:hint="eastAsia" w:ascii="Times New Roman" w:hAnsi="Times New Roman" w:eastAsia="宋体" w:cs="Times New Roman"/>
                <w:snapToGrid/>
                <w:color w:val="auto"/>
                <w:lang w:eastAsia="zh-CN" w:bidi="ar"/>
              </w:rPr>
              <w:t xml:space="preserve">-F（10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snapToGrid/>
                <w:color w:val="auto"/>
                <w:lang w:eastAsia="zh-CN" w:bidi="ar"/>
              </w:rPr>
              <w:t>M）</w:t>
            </w:r>
          </w:p>
        </w:tc>
        <w:tc>
          <w:tcPr>
            <w:tcW w:w="2347" w:type="dxa"/>
          </w:tcPr>
          <w:p w14:paraId="6A1D52BD">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0.5</w:t>
            </w:r>
          </w:p>
        </w:tc>
      </w:tr>
      <w:tr w14:paraId="496F6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09E17872">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i/>
                <w:iCs/>
                <w:snapToGrid/>
                <w:color w:val="auto"/>
                <w:lang w:eastAsia="zh-CN" w:bidi="ar"/>
              </w:rPr>
              <w:t>cpe</w:t>
            </w:r>
            <w:r>
              <w:rPr>
                <w:rFonts w:hint="eastAsia" w:ascii="Times New Roman" w:hAnsi="Times New Roman" w:eastAsia="宋体" w:cs="Times New Roman"/>
                <w:snapToGrid/>
                <w:color w:val="auto"/>
                <w:lang w:eastAsia="zh-CN" w:bidi="ar"/>
              </w:rPr>
              <w:t xml:space="preserve">-R（10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snapToGrid/>
                <w:color w:val="auto"/>
                <w:lang w:eastAsia="zh-CN" w:bidi="ar"/>
              </w:rPr>
              <w:t>M）</w:t>
            </w:r>
          </w:p>
        </w:tc>
        <w:tc>
          <w:tcPr>
            <w:tcW w:w="2347" w:type="dxa"/>
          </w:tcPr>
          <w:p w14:paraId="1322DE1B">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0.5</w:t>
            </w:r>
          </w:p>
        </w:tc>
      </w:tr>
      <w:tr w14:paraId="62B17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08179F82">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i/>
                <w:iCs/>
                <w:snapToGrid/>
                <w:color w:val="auto"/>
                <w:lang w:eastAsia="zh-CN" w:bidi="ar"/>
              </w:rPr>
              <w:t>cpe</w:t>
            </w:r>
            <w:r>
              <w:rPr>
                <w:rFonts w:hint="eastAsia" w:ascii="Times New Roman" w:hAnsi="Times New Roman" w:eastAsia="宋体" w:cs="Times New Roman"/>
                <w:snapToGrid/>
                <w:color w:val="auto"/>
                <w:lang w:eastAsia="zh-CN" w:bidi="ar"/>
              </w:rPr>
              <w:t xml:space="preserve">-P（10 </w:t>
            </w:r>
            <w:r>
              <w:rPr>
                <w:rFonts w:ascii="Times New Roman" w:hAnsi="Times New Roman" w:eastAsia="宋体" w:cs="Times New Roman"/>
                <w:snapToGrid/>
                <w:color w:val="000000" w:themeColor="dark1"/>
                <w:lang w:eastAsia="zh-CN"/>
                <w14:textFill>
                  <w14:solidFill>
                    <w14:schemeClr w14:val="dk1"/>
                  </w14:solidFill>
                </w14:textFill>
              </w:rPr>
              <w:t>μ</w:t>
            </w:r>
            <w:r>
              <w:rPr>
                <w:rFonts w:hint="eastAsia" w:ascii="Times New Roman" w:hAnsi="Times New Roman" w:eastAsia="宋体" w:cs="Times New Roman"/>
                <w:snapToGrid/>
                <w:color w:val="auto"/>
                <w:lang w:eastAsia="zh-CN" w:bidi="ar"/>
              </w:rPr>
              <w:t>M）</w:t>
            </w:r>
          </w:p>
        </w:tc>
        <w:tc>
          <w:tcPr>
            <w:tcW w:w="2347" w:type="dxa"/>
          </w:tcPr>
          <w:p w14:paraId="065ADA2D">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0.4</w:t>
            </w:r>
          </w:p>
        </w:tc>
      </w:tr>
      <w:tr w14:paraId="566A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2A6D4DCF">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2×TaqProbe qPCR Mix</w:t>
            </w:r>
          </w:p>
        </w:tc>
        <w:tc>
          <w:tcPr>
            <w:tcW w:w="2347" w:type="dxa"/>
          </w:tcPr>
          <w:p w14:paraId="2B8D6807">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10</w:t>
            </w:r>
            <w:r>
              <w:rPr>
                <w:rFonts w:hint="eastAsia" w:ascii="Times New Roman" w:hAnsi="Times New Roman" w:eastAsia="宋体" w:cs="Times New Roman"/>
                <w:snapToGrid/>
                <w:color w:val="auto"/>
                <w:lang w:eastAsia="zh-CN" w:bidi="ar"/>
              </w:rPr>
              <w:t>.0</w:t>
            </w:r>
          </w:p>
        </w:tc>
      </w:tr>
      <w:tr w14:paraId="4B5DD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35496E5D">
            <w:pPr>
              <w:widowControl/>
              <w:numPr>
                <w:ilvl w:val="255"/>
                <w:numId w:val="0"/>
              </w:numPr>
              <w:spacing w:after="0" w:line="320" w:lineRule="exact"/>
              <w:contextualSpacing/>
              <w:jc w:val="center"/>
              <w:rPr>
                <w:rFonts w:ascii="Times New Roman" w:hAnsi="Times New Roman" w:eastAsia="宋体" w:cs="Times New Roman"/>
                <w:snapToGrid/>
                <w:color w:val="auto"/>
                <w:lang w:eastAsia="zh-CN" w:bidi="ar"/>
              </w:rPr>
            </w:pPr>
            <w:r>
              <w:rPr>
                <w:rFonts w:hint="eastAsia" w:ascii="Times New Roman" w:hAnsi="Times New Roman" w:eastAsia="宋体" w:cs="Times New Roman"/>
                <w:snapToGrid/>
                <w:color w:val="auto"/>
                <w:lang w:eastAsia="zh-CN" w:bidi="ar"/>
              </w:rPr>
              <w:t>DNA模板</w:t>
            </w:r>
          </w:p>
        </w:tc>
        <w:tc>
          <w:tcPr>
            <w:tcW w:w="2347" w:type="dxa"/>
          </w:tcPr>
          <w:p w14:paraId="25E92AFD">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5</w:t>
            </w:r>
            <w:r>
              <w:rPr>
                <w:rFonts w:hint="eastAsia" w:ascii="Times New Roman" w:hAnsi="Times New Roman" w:eastAsia="宋体" w:cs="Times New Roman"/>
                <w:snapToGrid/>
                <w:color w:val="auto"/>
                <w:lang w:eastAsia="zh-CN" w:bidi="ar"/>
              </w:rPr>
              <w:t>.0</w:t>
            </w:r>
          </w:p>
        </w:tc>
      </w:tr>
      <w:tr w14:paraId="2D7B3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3" w:type="dxa"/>
          </w:tcPr>
          <w:p w14:paraId="5C35E4EC">
            <w:pPr>
              <w:widowControl/>
              <w:numPr>
                <w:ilvl w:val="255"/>
                <w:numId w:val="0"/>
              </w:numPr>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dH</w:t>
            </w:r>
            <w:r>
              <w:rPr>
                <w:rFonts w:ascii="Times New Roman" w:hAnsi="Times New Roman" w:eastAsia="宋体" w:cs="Times New Roman"/>
                <w:snapToGrid/>
                <w:color w:val="auto"/>
                <w:vertAlign w:val="subscript"/>
                <w:lang w:eastAsia="zh-CN" w:bidi="ar"/>
              </w:rPr>
              <w:t>2</w:t>
            </w:r>
            <w:r>
              <w:rPr>
                <w:rFonts w:ascii="Times New Roman" w:hAnsi="Times New Roman" w:eastAsia="宋体" w:cs="Times New Roman"/>
                <w:snapToGrid/>
                <w:color w:val="auto"/>
                <w:lang w:eastAsia="zh-CN" w:bidi="ar"/>
              </w:rPr>
              <w:t>O</w:t>
            </w:r>
          </w:p>
        </w:tc>
        <w:tc>
          <w:tcPr>
            <w:tcW w:w="2347" w:type="dxa"/>
          </w:tcPr>
          <w:p w14:paraId="0AEB9B70">
            <w:pPr>
              <w:widowControl/>
              <w:spacing w:after="0" w:line="320" w:lineRule="exact"/>
              <w:contextualSpacing/>
              <w:jc w:val="center"/>
              <w:rPr>
                <w:rFonts w:ascii="Times New Roman" w:hAnsi="Times New Roman" w:eastAsia="宋体" w:cs="Times New Roman"/>
                <w:snapToGrid/>
                <w:color w:val="auto"/>
                <w:lang w:eastAsia="zh-CN" w:bidi="ar"/>
              </w:rPr>
            </w:pPr>
            <w:r>
              <w:rPr>
                <w:rFonts w:ascii="Times New Roman" w:hAnsi="Times New Roman" w:eastAsia="宋体" w:cs="Times New Roman"/>
                <w:snapToGrid/>
                <w:color w:val="auto"/>
                <w:lang w:eastAsia="zh-CN" w:bidi="ar"/>
              </w:rPr>
              <w:t>2.2</w:t>
            </w:r>
          </w:p>
        </w:tc>
      </w:tr>
    </w:tbl>
    <w:p w14:paraId="485CE496">
      <w:pPr>
        <w:spacing w:after="0" w:line="320" w:lineRule="exact"/>
        <w:contextualSpacing/>
        <w:jc w:val="both"/>
        <w:rPr>
          <w:rFonts w:ascii="Times New Roman" w:hAnsi="Times New Roman" w:eastAsia="宋体" w:cs="Times New Roman"/>
          <w:lang w:eastAsia="zh-CN" w:bidi="ar"/>
        </w:rPr>
      </w:pPr>
      <w:r>
        <w:rPr>
          <w:rFonts w:hint="eastAsia" w:ascii="Times New Roman" w:hAnsi="Times New Roman" w:eastAsia="宋体" w:cs="Times New Roman"/>
          <w:lang w:eastAsia="zh-CN" w:bidi="ar"/>
        </w:rPr>
        <w:t>B</w:t>
      </w:r>
      <w:r>
        <w:rPr>
          <w:rFonts w:ascii="Times New Roman" w:hAnsi="Times New Roman" w:eastAsia="宋体" w:cs="Times New Roman"/>
          <w:lang w:eastAsia="zh-CN" w:bidi="ar"/>
        </w:rPr>
        <w:t>.5</w:t>
      </w:r>
      <w:r>
        <w:rPr>
          <w:rFonts w:hint="eastAsia" w:ascii="Times New Roman" w:hAnsi="Times New Roman" w:eastAsia="宋体" w:cs="Times New Roman"/>
          <w:lang w:eastAsia="zh-CN" w:bidi="ar"/>
        </w:rPr>
        <w:t xml:space="preserve"> 实时荧光 PCR 反应程序</w:t>
      </w:r>
    </w:p>
    <w:p w14:paraId="43C44FB9">
      <w:pPr>
        <w:spacing w:after="0" w:line="320" w:lineRule="exact"/>
        <w:ind w:firstLine="420"/>
        <w:contextualSpacing/>
        <w:jc w:val="both"/>
        <w:rPr>
          <w:rFonts w:ascii="Times New Roman" w:hAnsi="Times New Roman" w:eastAsia="宋体" w:cs="Times New Roman"/>
          <w:lang w:eastAsia="zh-CN" w:bidi="ar"/>
        </w:rPr>
      </w:pPr>
      <w:r>
        <w:rPr>
          <w:rFonts w:hint="eastAsia" w:ascii="Times New Roman" w:hAnsi="Times New Roman" w:eastAsia="宋体" w:cs="Times New Roman"/>
          <w:lang w:eastAsia="zh-CN" w:bidi="ar"/>
        </w:rPr>
        <w:t>预变性：95 ℃、</w:t>
      </w:r>
      <w:r>
        <w:rPr>
          <w:rFonts w:ascii="Times New Roman" w:hAnsi="Times New Roman" w:eastAsia="宋体" w:cs="Times New Roman"/>
          <w:lang w:eastAsia="zh-CN"/>
        </w:rPr>
        <w:t>3 min</w:t>
      </w:r>
      <w:r>
        <w:rPr>
          <w:rFonts w:hint="eastAsia" w:ascii="Times New Roman" w:hAnsi="Times New Roman" w:eastAsia="宋体" w:cs="Times New Roman"/>
          <w:lang w:eastAsia="zh-CN"/>
        </w:rPr>
        <w:t>；变性：</w:t>
      </w:r>
      <w:r>
        <w:rPr>
          <w:rFonts w:hint="eastAsia" w:ascii="Times New Roman" w:hAnsi="Times New Roman" w:eastAsia="宋体" w:cs="Times New Roman"/>
          <w:lang w:eastAsia="zh-CN" w:bidi="ar"/>
        </w:rPr>
        <w:t>95 ℃、5 s；退火延伸：58℃、35 s，循环 45 次，在退火延伸阶段采集荧光信号。</w:t>
      </w:r>
    </w:p>
    <w:p w14:paraId="481D5CBA">
      <w:pPr>
        <w:spacing w:after="0" w:line="320" w:lineRule="exact"/>
        <w:contextualSpacing/>
        <w:rPr>
          <w:rFonts w:ascii="Times New Roman" w:hAnsi="Times New Roman" w:eastAsia="宋体" w:cs="Times New Roman"/>
          <w:szCs w:val="24"/>
          <w:lang w:eastAsia="zh-CN"/>
        </w:rPr>
      </w:pPr>
      <w:r>
        <w:rPr>
          <w:rFonts w:ascii="Times New Roman" w:hAnsi="Times New Roman" w:eastAsia="宋体" w:cs="Times New Roman"/>
          <w:szCs w:val="24"/>
          <w:lang w:eastAsia="zh-CN" w:bidi="ar"/>
        </w:rPr>
        <w:t xml:space="preserve">B.6 </w:t>
      </w:r>
      <w:r>
        <w:rPr>
          <w:rFonts w:hint="eastAsia" w:ascii="Times New Roman" w:hAnsi="Times New Roman" w:eastAsia="宋体" w:cs="Times New Roman"/>
          <w:szCs w:val="24"/>
          <w:lang w:eastAsia="zh-CN"/>
        </w:rPr>
        <w:t xml:space="preserve">质量控制 </w:t>
      </w:r>
    </w:p>
    <w:p w14:paraId="61E75839">
      <w:pPr>
        <w:pStyle w:val="16"/>
        <w:numPr>
          <w:ilvl w:val="0"/>
          <w:numId w:val="0"/>
        </w:numPr>
        <w:snapToGrid w:val="0"/>
        <w:spacing w:before="0" w:beforeLines="0" w:after="0" w:afterLines="0" w:line="320" w:lineRule="exact"/>
        <w:ind w:firstLine="420" w:firstLineChars="200"/>
        <w:contextualSpacing/>
        <w:rPr>
          <w:rFonts w:ascii="Times New Roman" w:eastAsia="宋体"/>
          <w:color w:val="000000"/>
          <w:szCs w:val="21"/>
        </w:rPr>
      </w:pPr>
      <w:r>
        <w:rPr>
          <w:rFonts w:hint="eastAsia" w:ascii="Times New Roman" w:eastAsia="宋体"/>
          <w:kern w:val="2"/>
          <w:szCs w:val="24"/>
        </w:rPr>
        <w:t>实时荧光PCR试验过程应设置阳性、阴性和空白对照。其中阳性对照模板为</w:t>
      </w:r>
      <w:r>
        <w:rPr>
          <w:rFonts w:hint="eastAsia" w:ascii="Times New Roman" w:eastAsia="宋体"/>
          <w:color w:val="000000"/>
          <w:szCs w:val="21"/>
        </w:rPr>
        <w:t>含</w:t>
      </w:r>
      <w:r>
        <w:rPr>
          <w:rFonts w:ascii="Times New Roman" w:eastAsia="宋体"/>
          <w:i/>
          <w:iCs/>
          <w:color w:val="000000"/>
          <w:szCs w:val="21"/>
        </w:rPr>
        <w:t>cpe</w:t>
      </w:r>
      <w:r>
        <w:rPr>
          <w:rFonts w:hint="eastAsia" w:ascii="Times New Roman" w:eastAsia="宋体"/>
          <w:color w:val="000000"/>
          <w:szCs w:val="21"/>
        </w:rPr>
        <w:t>基因的产气荚膜梭菌标准菌株</w:t>
      </w:r>
      <w:r>
        <w:rPr>
          <w:rFonts w:ascii="Times New Roman" w:eastAsia="宋体"/>
          <w:color w:val="000000"/>
          <w:szCs w:val="21"/>
        </w:rPr>
        <w:t xml:space="preserve"> DNA </w:t>
      </w:r>
      <w:r>
        <w:rPr>
          <w:rFonts w:hint="eastAsia" w:ascii="Times New Roman" w:eastAsia="宋体"/>
          <w:color w:val="000000"/>
          <w:szCs w:val="21"/>
        </w:rPr>
        <w:t>或含有目的 DNA 片段的质粒 DNA；阴性对照模板为不含产气荚膜梭菌的DNA</w:t>
      </w:r>
      <w:r>
        <w:rPr>
          <w:rFonts w:ascii="Times New Roman" w:eastAsia="宋体"/>
          <w:color w:val="000000"/>
          <w:szCs w:val="21"/>
        </w:rPr>
        <w:t xml:space="preserve"> </w:t>
      </w:r>
      <w:r>
        <w:rPr>
          <w:rFonts w:hint="eastAsia" w:ascii="Times New Roman" w:eastAsia="宋体"/>
          <w:color w:val="000000"/>
          <w:szCs w:val="21"/>
        </w:rPr>
        <w:t>，空白对照模板为无菌去离子水。若选用</w:t>
      </w:r>
      <w:r>
        <w:rPr>
          <w:rFonts w:hint="eastAsia" w:ascii="Times New Roman" w:eastAsia="宋体"/>
          <w:szCs w:val="21"/>
        </w:rPr>
        <w:t>商品化产气荚膜梭菌荧光 PCR检测试剂盒</w:t>
      </w:r>
      <w:r>
        <w:rPr>
          <w:rFonts w:hint="eastAsia" w:ascii="Times New Roman" w:eastAsia="宋体"/>
          <w:color w:val="000000"/>
          <w:szCs w:val="21"/>
        </w:rPr>
        <w:t>，则依据试剂盒说明书操作。</w:t>
      </w:r>
    </w:p>
    <w:p w14:paraId="19FA448E">
      <w:pPr>
        <w:pStyle w:val="16"/>
        <w:numPr>
          <w:ilvl w:val="0"/>
          <w:numId w:val="0"/>
        </w:numPr>
        <w:spacing w:before="0" w:beforeLines="0" w:after="0" w:afterLines="0" w:line="320" w:lineRule="exact"/>
        <w:contextualSpacing/>
        <w:rPr>
          <w:rFonts w:ascii="Times New Roman" w:eastAsia="宋体"/>
          <w:szCs w:val="21"/>
        </w:rPr>
      </w:pPr>
      <w:r>
        <w:rPr>
          <w:rFonts w:ascii="Times New Roman" w:eastAsia="宋体"/>
          <w:szCs w:val="21"/>
        </w:rPr>
        <w:t>B.7</w:t>
      </w:r>
      <w:r>
        <w:rPr>
          <w:rFonts w:hint="eastAsia" w:ascii="Times New Roman" w:eastAsia="宋体"/>
          <w:szCs w:val="21"/>
        </w:rPr>
        <w:t xml:space="preserve"> 实时荧光PCR检测结果判定</w:t>
      </w:r>
    </w:p>
    <w:p w14:paraId="1140DCC2">
      <w:pPr>
        <w:pStyle w:val="16"/>
        <w:numPr>
          <w:ilvl w:val="0"/>
          <w:numId w:val="0"/>
        </w:numPr>
        <w:spacing w:before="0" w:beforeLines="0" w:after="0" w:afterLines="0" w:line="320" w:lineRule="exact"/>
        <w:ind w:firstLine="420" w:firstLineChars="200"/>
        <w:contextualSpacing/>
        <w:rPr>
          <w:rFonts w:ascii="Times New Roman" w:eastAsia="宋体"/>
          <w:szCs w:val="21"/>
        </w:rPr>
      </w:pPr>
      <w:r>
        <w:rPr>
          <w:rFonts w:hint="eastAsia" w:ascii="Times New Roman" w:eastAsia="宋体"/>
          <w:szCs w:val="21"/>
        </w:rPr>
        <w:t>阳性对照出现典型扩增曲线，且 Ct值&lt;30；阴性对照无典型扩增曲线或 Ct值≥35 ；空白对照无典型扩增曲线或 Ct值≥35。否则，结果视为无效。当 Ct值&lt;30，同时荧光曲线呈现典型的 S 型，则判定为阳性；如30≤Ct值&lt;35，需重复试验，如重复试验后 Ct值&lt;35，同时荧光曲线呈现典型的 S 型，则判定为阳性，否则判断为阴性。当</w:t>
      </w:r>
      <w:r>
        <w:rPr>
          <w:rFonts w:ascii="Times New Roman" w:eastAsia="宋体"/>
          <w:i/>
          <w:iCs/>
          <w:szCs w:val="21"/>
        </w:rPr>
        <w:t>plc</w:t>
      </w:r>
      <w:r>
        <w:rPr>
          <w:rFonts w:hint="eastAsia" w:ascii="Times New Roman" w:eastAsia="宋体"/>
          <w:szCs w:val="21"/>
        </w:rPr>
        <w:t>基因为阳性，判定该菌落检测结果为产气荚膜梭菌；当</w:t>
      </w:r>
      <w:r>
        <w:rPr>
          <w:rFonts w:ascii="Times New Roman" w:eastAsia="宋体"/>
          <w:i/>
          <w:iCs/>
          <w:szCs w:val="21"/>
        </w:rPr>
        <w:t>plc</w:t>
      </w:r>
      <w:r>
        <w:rPr>
          <w:rFonts w:hint="eastAsia" w:ascii="Times New Roman" w:eastAsia="宋体"/>
          <w:szCs w:val="21"/>
        </w:rPr>
        <w:t>基因和</w:t>
      </w:r>
      <w:r>
        <w:rPr>
          <w:rFonts w:ascii="Times New Roman" w:eastAsia="宋体"/>
          <w:i/>
          <w:iCs/>
          <w:szCs w:val="21"/>
        </w:rPr>
        <w:t>cpe</w:t>
      </w:r>
      <w:r>
        <w:rPr>
          <w:rFonts w:hint="eastAsia" w:ascii="Times New Roman" w:eastAsia="宋体"/>
          <w:szCs w:val="21"/>
        </w:rPr>
        <w:t>基因同时为阳性，判定该菌落检测结果为携带</w:t>
      </w:r>
      <w:r>
        <w:rPr>
          <w:rFonts w:ascii="Times New Roman" w:eastAsia="宋体"/>
          <w:i/>
          <w:iCs/>
          <w:szCs w:val="21"/>
        </w:rPr>
        <w:t>cpe</w:t>
      </w:r>
      <w:r>
        <w:rPr>
          <w:rFonts w:hint="eastAsia" w:ascii="Times New Roman" w:eastAsia="宋体"/>
          <w:szCs w:val="21"/>
        </w:rPr>
        <w:t>基因的产气荚膜梭菌；当</w:t>
      </w:r>
      <w:r>
        <w:rPr>
          <w:rFonts w:ascii="Times New Roman" w:eastAsia="宋体"/>
          <w:i/>
          <w:iCs/>
          <w:szCs w:val="21"/>
        </w:rPr>
        <w:t>plc</w:t>
      </w:r>
      <w:r>
        <w:rPr>
          <w:rFonts w:hint="eastAsia" w:ascii="Times New Roman" w:eastAsia="宋体"/>
          <w:szCs w:val="21"/>
        </w:rPr>
        <w:t>基因为阴性时，判定该菌落检测结果为非产气荚膜梭菌。</w:t>
      </w:r>
    </w:p>
    <w:p w14:paraId="0C029233">
      <w:pPr>
        <w:pStyle w:val="16"/>
        <w:numPr>
          <w:ilvl w:val="0"/>
          <w:numId w:val="0"/>
        </w:numPr>
        <w:spacing w:before="0" w:beforeLines="0" w:after="0" w:afterLines="0" w:line="320" w:lineRule="exact"/>
        <w:ind w:firstLine="420" w:firstLineChars="200"/>
        <w:contextualSpacing/>
        <w:rPr>
          <w:rFonts w:ascii="Times New Roman" w:eastAsia="宋体"/>
          <w:szCs w:val="21"/>
        </w:rPr>
      </w:pPr>
      <w:r>
        <w:rPr>
          <w:rFonts w:hint="eastAsia" w:ascii="Times New Roman" w:eastAsia="宋体"/>
          <w:szCs w:val="21"/>
        </w:rPr>
        <w:t>若选用商品化产气荚膜梭菌实时荧光PCR检测试剂盒，则依据试剂盒说明书进行结果判定。</w:t>
      </w:r>
    </w:p>
    <w:p w14:paraId="604C1675">
      <w:pPr>
        <w:spacing w:after="0" w:line="320" w:lineRule="exact"/>
        <w:rPr>
          <w:rFonts w:ascii="Times New Roman" w:hAnsi="Times New Roman" w:eastAsia="宋体" w:cs="Times New Roman"/>
          <w:lang w:eastAsia="zh-CN"/>
        </w:rPr>
      </w:pPr>
      <w:r>
        <w:rPr>
          <w:rFonts w:hint="eastAsia" w:ascii="Times New Roman" w:hAnsi="Times New Roman" w:eastAsia="宋体" w:cs="Times New Roman"/>
          <w:lang w:eastAsia="zh-CN"/>
        </w:rPr>
        <w:t>B.8 结果报告</w:t>
      </w:r>
    </w:p>
    <w:p w14:paraId="7BAADE51">
      <w:pPr>
        <w:spacing w:after="0" w:line="320" w:lineRule="exact"/>
        <w:ind w:firstLine="420" w:firstLineChars="200"/>
        <w:rPr>
          <w:rFonts w:ascii="Times New Roman" w:hAnsi="Times New Roman" w:eastAsia="宋体" w:cs="Times New Roman"/>
          <w:lang w:eastAsia="zh-CN"/>
        </w:rPr>
      </w:pPr>
      <w:r>
        <w:rPr>
          <w:rFonts w:hint="eastAsia" w:ascii="Times New Roman" w:hAnsi="Times New Roman" w:eastAsia="宋体" w:cs="Times New Roman"/>
          <w:lang w:eastAsia="zh-CN"/>
        </w:rPr>
        <w:t>依据</w:t>
      </w:r>
      <w:r>
        <w:rPr>
          <w:rFonts w:ascii="Times New Roman" w:hAnsi="Times New Roman" w:eastAsia="宋体" w:cs="Times New Roman"/>
          <w:lang w:eastAsia="zh-CN"/>
        </w:rPr>
        <w:t>B.7</w:t>
      </w:r>
      <w:r>
        <w:rPr>
          <w:rFonts w:hint="eastAsia" w:ascii="Times New Roman" w:hAnsi="Times New Roman" w:eastAsia="宋体" w:cs="Times New Roman"/>
          <w:lang w:eastAsia="zh-CN"/>
        </w:rPr>
        <w:t>实验结果，报告检出或未检出携带或未携带</w:t>
      </w:r>
      <w:r>
        <w:rPr>
          <w:rFonts w:ascii="Times New Roman" w:hAnsi="Times New Roman" w:eastAsia="宋体" w:cs="Times New Roman"/>
          <w:i/>
          <w:iCs/>
          <w:lang w:eastAsia="zh-CN"/>
        </w:rPr>
        <w:t>cpe</w:t>
      </w:r>
      <w:r>
        <w:rPr>
          <w:rFonts w:hint="eastAsia" w:ascii="Times New Roman" w:hAnsi="Times New Roman" w:eastAsia="宋体" w:cs="Times New Roman"/>
          <w:lang w:eastAsia="zh-CN"/>
        </w:rPr>
        <w:t>基因的产气荚膜梭菌。</w:t>
      </w:r>
    </w:p>
    <w:p w14:paraId="06E896A8">
      <w:pPr>
        <w:rPr>
          <w:rFonts w:ascii="Times New Roman" w:hAnsi="Times New Roman" w:cs="Times New Roman"/>
          <w:lang w:eastAsia="zh-CN"/>
        </w:rPr>
      </w:pPr>
    </w:p>
    <w:p w14:paraId="0E2C82EB">
      <w:pPr>
        <w:kinsoku/>
        <w:overflowPunct w:val="0"/>
        <w:autoSpaceDE/>
        <w:autoSpaceDN/>
        <w:spacing w:line="300" w:lineRule="auto"/>
        <w:contextualSpacing/>
        <w:jc w:val="center"/>
        <w:rPr>
          <w:rFonts w:ascii="Times New Roman" w:hAnsi="Times New Roman" w:cs="Times New Roman"/>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ingFang SC">
    <w:altName w:val="微软雅黑"/>
    <w:panose1 w:val="00000000000000000000"/>
    <w:charset w:val="86"/>
    <w:family w:val="auto"/>
    <w:pitch w:val="default"/>
    <w:sig w:usb0="00000000" w:usb1="00000000" w:usb2="00000017"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937A3">
    <w:pPr>
      <w:pStyle w:val="7"/>
    </w:pPr>
    <w:r>
      <w:rPr>
        <w:lang w:eastAsia="zh-CN"/>
      </w:rPr>
      <mc:AlternateContent>
        <mc:Choice Requires="wps">
          <w:drawing>
            <wp:anchor distT="0" distB="0" distL="114300" distR="114300" simplePos="0" relativeHeight="251659264" behindDoc="0" locked="0" layoutInCell="1" allowOverlap="1">
              <wp:simplePos x="0" y="0"/>
              <wp:positionH relativeFrom="margin">
                <wp:posOffset>5065395</wp:posOffset>
              </wp:positionH>
              <wp:positionV relativeFrom="paragraph">
                <wp:posOffset>-520065</wp:posOffset>
              </wp:positionV>
              <wp:extent cx="208915" cy="759460"/>
              <wp:effectExtent l="0" t="0" r="0" b="0"/>
              <wp:wrapNone/>
              <wp:docPr id="5" name="Text Box 5"/>
              <wp:cNvGraphicFramePr/>
              <a:graphic xmlns:a="http://schemas.openxmlformats.org/drawingml/2006/main">
                <a:graphicData uri="http://schemas.microsoft.com/office/word/2010/wordprocessingShape">
                  <wps:wsp>
                    <wps:cNvSpPr txBox="1"/>
                    <wps:spPr>
                      <a:xfrm>
                        <a:off x="0" y="0"/>
                        <a:ext cx="208915" cy="759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EA1CED">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398.85pt;margin-top:-40.95pt;height:59.8pt;width:16.45pt;mso-position-horizontal-relative:margin;z-index:251659264;mso-width-relative:page;mso-height-relative:page;" filled="f" stroked="f" coordsize="21600,21600" o:gfxdata="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ekIX+&#10;2AAAAAoBAAAPAAAAAAAAAAEAIAAAACIAAABkcnMvZG93bnJldi54bWxQSwECFAAUAAAACACHTuJA&#10;pfqITCECAABUBAAADgAAAAAAAAABACAAAAAnAQAAZHJzL2Uyb0RvYy54bWxQSwUGAAAAAAYABgBZ&#10;AQAAugUAAAAA&#10;">
              <v:fill on="f" focussize="0,0"/>
              <v:stroke on="f" weight="0.5pt"/>
              <v:imagedata o:title=""/>
              <o:lock v:ext="edit" aspectratio="f"/>
              <v:textbox inset="0mm,0mm,0mm,0mm">
                <w:txbxContent>
                  <w:p w14:paraId="33EA1CED">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3C9EE">
    <w:pPr>
      <w:spacing w:before="85" w:line="199" w:lineRule="auto"/>
      <w:rPr>
        <w:rFonts w:ascii="Times New Roman" w:hAnsi="Times New Roman" w:eastAsia="Times New Roman" w:cs="Times New Roman"/>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2BD83">
    <w:pPr>
      <w:jc w:val="right"/>
      <w:rPr>
        <w:lang w:val="de-DE"/>
      </w:rPr>
    </w:pPr>
  </w:p>
  <w:p w14:paraId="7BC5E7A7">
    <w:pPr>
      <w:jc w:val="right"/>
      <w:rPr>
        <w:lang w:val="de-DE"/>
      </w:rPr>
    </w:pPr>
  </w:p>
  <w:p w14:paraId="5AFB6267">
    <w:pPr>
      <w:jc w:val="right"/>
      <w:rPr>
        <w:rFonts w:ascii="Times New Roman" w:hAnsi="Times New Roman" w:eastAsia="宋体" w:cs="Times New Roman"/>
        <w:lang w:val="de-DE"/>
      </w:rPr>
    </w:pPr>
    <w:r>
      <w:rPr>
        <w:rFonts w:ascii="Times New Roman" w:hAnsi="Times New Roman" w:eastAsia="宋体" w:cs="Times New Roman"/>
        <w:lang w:val="de-DE"/>
      </w:rPr>
      <w:t>WS/T XXX－XXXX</w:t>
    </w:r>
  </w:p>
  <w:p w14:paraId="4B3C75BF">
    <w:pPr>
      <w:spacing w:line="14" w:lineRule="auto"/>
      <w:rPr>
        <w:sz w:val="2"/>
        <w:lang w:val="de-D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0"/>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21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7"/>
      <w:suff w:val="nothing"/>
      <w:lvlText w:val="%1%2.%3.%4　"/>
      <w:lvlJc w:val="left"/>
      <w:pPr>
        <w:ind w:left="0" w:firstLine="0"/>
      </w:pPr>
      <w:rPr>
        <w:rFonts w:hint="eastAsia" w:ascii="黑体" w:eastAsia="黑体"/>
        <w:b w:val="0"/>
        <w:i w:val="0"/>
        <w:sz w:val="21"/>
      </w:rPr>
    </w:lvl>
    <w:lvl w:ilvl="4" w:tentative="0">
      <w:start w:val="1"/>
      <w:numFmt w:val="decimal"/>
      <w:pStyle w:val="16"/>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noPunctuationKerning w:val="1"/>
  <w:characterSpacingControl w:val="doNotCompress"/>
  <w:footnotePr>
    <w:footnote w:id="0"/>
    <w:footnote w:id="1"/>
  </w:foot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B24"/>
    <w:rsid w:val="00032D6A"/>
    <w:rsid w:val="00050CBD"/>
    <w:rsid w:val="00071E8F"/>
    <w:rsid w:val="00091C35"/>
    <w:rsid w:val="000A750B"/>
    <w:rsid w:val="000A7FC5"/>
    <w:rsid w:val="000B76DA"/>
    <w:rsid w:val="000C0345"/>
    <w:rsid w:val="000C6B9D"/>
    <w:rsid w:val="000E4DED"/>
    <w:rsid w:val="000E4F61"/>
    <w:rsid w:val="000E549D"/>
    <w:rsid w:val="00117D8A"/>
    <w:rsid w:val="001349CF"/>
    <w:rsid w:val="0015659B"/>
    <w:rsid w:val="00156840"/>
    <w:rsid w:val="001608AB"/>
    <w:rsid w:val="001618D9"/>
    <w:rsid w:val="001B3D14"/>
    <w:rsid w:val="001F3A3F"/>
    <w:rsid w:val="001F5E1F"/>
    <w:rsid w:val="00214FF5"/>
    <w:rsid w:val="0022756E"/>
    <w:rsid w:val="00233DE2"/>
    <w:rsid w:val="00267195"/>
    <w:rsid w:val="00270CE2"/>
    <w:rsid w:val="002750A3"/>
    <w:rsid w:val="00284378"/>
    <w:rsid w:val="00285F43"/>
    <w:rsid w:val="00291E05"/>
    <w:rsid w:val="00295114"/>
    <w:rsid w:val="002A7268"/>
    <w:rsid w:val="002B1758"/>
    <w:rsid w:val="002D5B31"/>
    <w:rsid w:val="003178B6"/>
    <w:rsid w:val="00360A49"/>
    <w:rsid w:val="00375CFD"/>
    <w:rsid w:val="0038299D"/>
    <w:rsid w:val="003C1570"/>
    <w:rsid w:val="003D6595"/>
    <w:rsid w:val="003F0DCC"/>
    <w:rsid w:val="00422BAF"/>
    <w:rsid w:val="00437BAE"/>
    <w:rsid w:val="00447B24"/>
    <w:rsid w:val="004641B7"/>
    <w:rsid w:val="00477D59"/>
    <w:rsid w:val="004A1660"/>
    <w:rsid w:val="004A265F"/>
    <w:rsid w:val="004A3B7A"/>
    <w:rsid w:val="004C44EF"/>
    <w:rsid w:val="004C768C"/>
    <w:rsid w:val="005454F6"/>
    <w:rsid w:val="005603A0"/>
    <w:rsid w:val="005736A5"/>
    <w:rsid w:val="005851A7"/>
    <w:rsid w:val="0058526B"/>
    <w:rsid w:val="005D5AC9"/>
    <w:rsid w:val="00623AD9"/>
    <w:rsid w:val="006305C7"/>
    <w:rsid w:val="00641B63"/>
    <w:rsid w:val="00674342"/>
    <w:rsid w:val="00682754"/>
    <w:rsid w:val="006F1203"/>
    <w:rsid w:val="00707CAE"/>
    <w:rsid w:val="00717970"/>
    <w:rsid w:val="00730BD8"/>
    <w:rsid w:val="0076078A"/>
    <w:rsid w:val="00760ECF"/>
    <w:rsid w:val="00762E68"/>
    <w:rsid w:val="00781549"/>
    <w:rsid w:val="00783A72"/>
    <w:rsid w:val="007B1C74"/>
    <w:rsid w:val="007B488D"/>
    <w:rsid w:val="007C37FE"/>
    <w:rsid w:val="007C4282"/>
    <w:rsid w:val="007C7D5B"/>
    <w:rsid w:val="008208EF"/>
    <w:rsid w:val="0083379C"/>
    <w:rsid w:val="00861D6B"/>
    <w:rsid w:val="00867613"/>
    <w:rsid w:val="00877628"/>
    <w:rsid w:val="008A5682"/>
    <w:rsid w:val="008C7104"/>
    <w:rsid w:val="008D7F0C"/>
    <w:rsid w:val="00922628"/>
    <w:rsid w:val="009467FC"/>
    <w:rsid w:val="00986FC3"/>
    <w:rsid w:val="00992AF9"/>
    <w:rsid w:val="009B1304"/>
    <w:rsid w:val="009B7A37"/>
    <w:rsid w:val="009C6404"/>
    <w:rsid w:val="009C6C2E"/>
    <w:rsid w:val="009E615D"/>
    <w:rsid w:val="009F6BD9"/>
    <w:rsid w:val="00A06E7B"/>
    <w:rsid w:val="00A50F65"/>
    <w:rsid w:val="00A61335"/>
    <w:rsid w:val="00A630DF"/>
    <w:rsid w:val="00AA7636"/>
    <w:rsid w:val="00AD369E"/>
    <w:rsid w:val="00AF619C"/>
    <w:rsid w:val="00B25EF2"/>
    <w:rsid w:val="00B26473"/>
    <w:rsid w:val="00B33A0B"/>
    <w:rsid w:val="00B33CD6"/>
    <w:rsid w:val="00B36EDD"/>
    <w:rsid w:val="00B41ED2"/>
    <w:rsid w:val="00B47D0D"/>
    <w:rsid w:val="00B85D07"/>
    <w:rsid w:val="00BB5A6C"/>
    <w:rsid w:val="00BB670A"/>
    <w:rsid w:val="00BC1DD5"/>
    <w:rsid w:val="00C668E6"/>
    <w:rsid w:val="00C86CD2"/>
    <w:rsid w:val="00C975C6"/>
    <w:rsid w:val="00CB6821"/>
    <w:rsid w:val="00CB7E5C"/>
    <w:rsid w:val="00CD320E"/>
    <w:rsid w:val="00CD5679"/>
    <w:rsid w:val="00D23F5F"/>
    <w:rsid w:val="00D253CF"/>
    <w:rsid w:val="00D30426"/>
    <w:rsid w:val="00D61F68"/>
    <w:rsid w:val="00DE157E"/>
    <w:rsid w:val="00DF62CD"/>
    <w:rsid w:val="00E0079A"/>
    <w:rsid w:val="00E054B0"/>
    <w:rsid w:val="00E27AF3"/>
    <w:rsid w:val="00E47C81"/>
    <w:rsid w:val="00E96CC5"/>
    <w:rsid w:val="00EA2D20"/>
    <w:rsid w:val="00EC625F"/>
    <w:rsid w:val="00F13A9B"/>
    <w:rsid w:val="00F400D9"/>
    <w:rsid w:val="00F51362"/>
    <w:rsid w:val="00F57232"/>
    <w:rsid w:val="00F92CBB"/>
    <w:rsid w:val="00FC6A3C"/>
    <w:rsid w:val="00FD1E7F"/>
    <w:rsid w:val="00FD7199"/>
    <w:rsid w:val="00FE2256"/>
    <w:rsid w:val="092D370C"/>
    <w:rsid w:val="0A55648D"/>
    <w:rsid w:val="0F276507"/>
    <w:rsid w:val="169326D4"/>
    <w:rsid w:val="18193CE1"/>
    <w:rsid w:val="18B021B7"/>
    <w:rsid w:val="191D59DB"/>
    <w:rsid w:val="1A3F329F"/>
    <w:rsid w:val="268675C3"/>
    <w:rsid w:val="29574DA6"/>
    <w:rsid w:val="2F0A5D38"/>
    <w:rsid w:val="31BA31D7"/>
    <w:rsid w:val="327E6124"/>
    <w:rsid w:val="33F24A86"/>
    <w:rsid w:val="34053B8E"/>
    <w:rsid w:val="37A62245"/>
    <w:rsid w:val="3F124102"/>
    <w:rsid w:val="400B681F"/>
    <w:rsid w:val="450A45CC"/>
    <w:rsid w:val="48C046D7"/>
    <w:rsid w:val="49C83F1C"/>
    <w:rsid w:val="4AEF023C"/>
    <w:rsid w:val="4FFF4535"/>
    <w:rsid w:val="5012248F"/>
    <w:rsid w:val="568051AB"/>
    <w:rsid w:val="589F26F3"/>
    <w:rsid w:val="5D142D43"/>
    <w:rsid w:val="5D6F5463"/>
    <w:rsid w:val="5D722250"/>
    <w:rsid w:val="5EFB4D00"/>
    <w:rsid w:val="66B57AFC"/>
    <w:rsid w:val="710D155D"/>
    <w:rsid w:val="73B056C0"/>
    <w:rsid w:val="76FA5AB2"/>
    <w:rsid w:val="7C79392B"/>
    <w:rsid w:val="7E9B3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after="160"/>
      <w:textAlignment w:val="baseline"/>
    </w:pPr>
    <w:rPr>
      <w:rFonts w:ascii="Arial" w:hAnsi="Arial" w:cs="Arial" w:eastAsiaTheme="minorEastAsia"/>
      <w:snapToGrid w:val="0"/>
      <w:color w:val="000000"/>
      <w:sz w:val="21"/>
      <w:szCs w:val="21"/>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ody Text"/>
    <w:basedOn w:val="1"/>
    <w:semiHidden/>
    <w:qFormat/>
    <w:uiPriority w:val="0"/>
    <w:rPr>
      <w:rFonts w:ascii="PingFang SC" w:hAnsi="PingFang SC" w:eastAsia="PingFang SC" w:cs="PingFang SC"/>
      <w:sz w:val="35"/>
      <w:szCs w:val="35"/>
    </w:rPr>
  </w:style>
  <w:style w:type="paragraph" w:styleId="5">
    <w:name w:val="annotation text"/>
    <w:basedOn w:val="1"/>
    <w:semiHidden/>
    <w:unhideWhenUsed/>
    <w:qFormat/>
    <w:uiPriority w:val="99"/>
  </w:style>
  <w:style w:type="paragraph" w:styleId="6">
    <w:name w:val="Date"/>
    <w:basedOn w:val="1"/>
    <w:next w:val="1"/>
    <w:link w:val="15"/>
    <w:semiHidden/>
    <w:unhideWhenUsed/>
    <w:qFormat/>
    <w:uiPriority w:val="99"/>
    <w:pPr>
      <w:ind w:left="100" w:leftChars="2500"/>
    </w:pPr>
  </w:style>
  <w:style w:type="paragraph" w:styleId="7">
    <w:name w:val="footer"/>
    <w:basedOn w:val="1"/>
    <w:link w:val="14"/>
    <w:unhideWhenUsed/>
    <w:qFormat/>
    <w:uiPriority w:val="99"/>
    <w:pPr>
      <w:tabs>
        <w:tab w:val="center" w:pos="4153"/>
        <w:tab w:val="right" w:pos="8306"/>
      </w:tabs>
    </w:pPr>
    <w:rPr>
      <w:sz w:val="18"/>
      <w:szCs w:val="18"/>
    </w:rPr>
  </w:style>
  <w:style w:type="paragraph" w:styleId="8">
    <w:name w:val="header"/>
    <w:basedOn w:val="1"/>
    <w:link w:val="13"/>
    <w:unhideWhenUsed/>
    <w:qFormat/>
    <w:uiPriority w:val="99"/>
    <w:pPr>
      <w:tabs>
        <w:tab w:val="center" w:pos="4153"/>
        <w:tab w:val="right" w:pos="8306"/>
      </w:tabs>
      <w:jc w:val="center"/>
    </w:pPr>
    <w:rPr>
      <w:sz w:val="18"/>
      <w:szCs w:val="18"/>
    </w:rPr>
  </w:style>
  <w:style w:type="paragraph" w:styleId="9">
    <w:name w:val="Plain Text"/>
    <w:basedOn w:val="1"/>
    <w:qFormat/>
    <w:uiPriority w:val="0"/>
    <w:rPr>
      <w:rFonts w:ascii="宋体" w:hAnsi="Courier New"/>
      <w:szCs w:val="20"/>
    </w:rPr>
  </w:style>
  <w:style w:type="character" w:styleId="10">
    <w:name w:val="Strong"/>
    <w:basedOn w:val="2"/>
    <w:qFormat/>
    <w:uiPriority w:val="22"/>
    <w:rPr>
      <w:b/>
    </w:rPr>
  </w:style>
  <w:style w:type="table" w:styleId="11">
    <w:name w:val="Table Grid"/>
    <w:basedOn w:val="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
    <w:name w:val="Table Normal1"/>
    <w:semiHidden/>
    <w:unhideWhenUsed/>
    <w:qFormat/>
    <w:uiPriority w:val="0"/>
    <w:tblPr>
      <w:tblCellMar>
        <w:top w:w="0" w:type="dxa"/>
        <w:left w:w="0" w:type="dxa"/>
        <w:bottom w:w="0" w:type="dxa"/>
        <w:right w:w="0" w:type="dxa"/>
      </w:tblCellMar>
    </w:tblPr>
  </w:style>
  <w:style w:type="character" w:customStyle="1" w:styleId="13">
    <w:name w:val="页眉 字符"/>
    <w:basedOn w:val="2"/>
    <w:link w:val="8"/>
    <w:qFormat/>
    <w:uiPriority w:val="99"/>
    <w:rPr>
      <w:sz w:val="18"/>
      <w:szCs w:val="18"/>
    </w:rPr>
  </w:style>
  <w:style w:type="character" w:customStyle="1" w:styleId="14">
    <w:name w:val="页脚 字符"/>
    <w:basedOn w:val="2"/>
    <w:link w:val="7"/>
    <w:qFormat/>
    <w:uiPriority w:val="99"/>
    <w:rPr>
      <w:sz w:val="18"/>
      <w:szCs w:val="18"/>
    </w:rPr>
  </w:style>
  <w:style w:type="character" w:customStyle="1" w:styleId="15">
    <w:name w:val="日期 字符"/>
    <w:basedOn w:val="2"/>
    <w:link w:val="6"/>
    <w:semiHidden/>
    <w:qFormat/>
    <w:uiPriority w:val="99"/>
  </w:style>
  <w:style w:type="paragraph" w:customStyle="1" w:styleId="16">
    <w:name w:val="标准文件_三级条标题"/>
    <w:basedOn w:val="17"/>
    <w:next w:val="1"/>
    <w:qFormat/>
    <w:uiPriority w:val="0"/>
    <w:pPr>
      <w:widowControl/>
      <w:numPr>
        <w:ilvl w:val="4"/>
      </w:numPr>
      <w:outlineLvl w:val="3"/>
    </w:pPr>
  </w:style>
  <w:style w:type="paragraph" w:customStyle="1" w:styleId="17">
    <w:name w:val="标准文件_二级条标题"/>
    <w:next w:val="1"/>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18">
    <w:name w:val="修订1"/>
    <w:hidden/>
    <w:semiHidden/>
    <w:qFormat/>
    <w:uiPriority w:val="99"/>
    <w:rPr>
      <w:rFonts w:ascii="Arial" w:hAnsi="Arial" w:cs="Arial" w:eastAsiaTheme="minorEastAsia"/>
      <w:snapToGrid w:val="0"/>
      <w:color w:val="000000"/>
      <w:sz w:val="21"/>
      <w:szCs w:val="21"/>
      <w:lang w:val="en-US" w:eastAsia="en-US" w:bidi="ar-SA"/>
    </w:rPr>
  </w:style>
  <w:style w:type="paragraph" w:customStyle="1" w:styleId="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0">
    <w:name w:val="前言、引言标题"/>
    <w:next w:val="1"/>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1">
    <w:name w:val="修订2"/>
    <w:hidden/>
    <w:unhideWhenUsed/>
    <w:qFormat/>
    <w:uiPriority w:val="99"/>
    <w:rPr>
      <w:rFonts w:ascii="Arial" w:hAnsi="Arial" w:cs="Arial" w:eastAsiaTheme="minorEastAsia"/>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1595CD-ADF4-41B8-B6E6-672DD3D6640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3010</Words>
  <Characters>3916</Characters>
  <Lines>12</Lines>
  <Paragraphs>8</Paragraphs>
  <TotalTime>5</TotalTime>
  <ScaleCrop>false</ScaleCrop>
  <LinksUpToDate>false</LinksUpToDate>
  <CharactersWithSpaces>4287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2026-03-05T01:26:00Z</dcterms:created>
  <dc:creator>Windows11</dc:creator>
  <cp:lastModifiedBy>韩海红</cp:lastModifiedBy>
  <dcterms:modified xsi:type="dcterms:W3CDTF">2026-04-07T02:02:14Z</dcterms:modified>
  <dc:title>毒蘑菇食物中毒诊断标准与处理原则</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2025-12-15T09:50:32Z</vt:filetime>
  </property>
  <property fmtid="{D5CDD505-2E9C-101B-9397-08002B2CF9AE}" pid="4" name="KSOTemplateDocerSaveRecord">
    <vt:lpwstr>eyJoZGlkIjoiMDQyNDZlMjIxNGYyM2JhMjJiNWZlMDJiMTVjMDVkNTUiLCJ1c2VySWQiOiI4NTA2MTcwMDQifQ==</vt:lpwstr>
  </property>
  <property fmtid="{D5CDD505-2E9C-101B-9397-08002B2CF9AE}" pid="5" name="KSOProductBuildVer">
    <vt:lpwstr>1033-12.2.0.23196</vt:lpwstr>
  </property>
  <property fmtid="{D5CDD505-2E9C-101B-9397-08002B2CF9AE}" pid="6" name="ICV">
    <vt:lpwstr>40BECBD3920F406D9C1E774291554226_13</vt:lpwstr>
  </property>
</Properties>
</file>